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19" w:rsidRPr="00C00896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  <w:r w:rsidRPr="00C00896"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  <w:t>В какие сроки исполнитель жилищно-коммунальных услуг должен ответить потребителю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 xml:space="preserve">Следует знать, что на обращения потребителей жилищно-коммунальных услуг к исполнителю таких услуг с заявлением, </w:t>
      </w:r>
      <w:proofErr w:type="gramStart"/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установленный  Федеральным</w:t>
      </w:r>
      <w:proofErr w:type="gramEnd"/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 xml:space="preserve"> законом от 02.05.2006 № 59-ФЗ «О порядке рассмотрения обращений граждан Российской Федерации» 30 дневный срок на их рассмотрение не распространяется. Указанный срок установлен для рассмотрения письменных обращений, поступивших в государственный орган, орган местного самоуправления или должностному лицу в соответствии с их компетенцией.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Для исполнителей жилищно-коммунальных услуг сроки рассмотрения обращений потребителей определены рядом нормативных правовых актов, в том числе Жилищным кодексом РФ, Законом РФ от 07.02.1992 № 2300-1 «О защите прав потребителей», Правилами предоставления коммунальных услуг собственникам и пользователям помещений в многоквартирных домах и жилых домов и др.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Исполнитель жилищно-коммунальных услуг обязан осуществлять рассмотрение обращений собственников и нанимателей жилых помещений и иных потребителей жилищно-коммунальных услуг, направлять ответы и выполнять требования, например, по нижеприведенным обращениям в следующие сроки: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1) запрос о перечне, объемах, качестве, периодичности оказанных услуг и(или) выполненных работ по содержанию жилого помещения – не позднее 5 рабочих дней с даты обращения;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2) требование проверки правильности начисления размера платы, задолженности или переплаты за коммунальные услуги, заявленное на личном приеме – немедленно. По результатам проверки Исполнитель обязан выдать заявителю документы, содержащие правильно начисленные платежи, заверенные по просьбе заявителя подписью руководителя и печатью Исполнителя;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3) заявление о выплате штрафа в пользу потребителя за нарушение порядка расчета платы за содержание жилого помещения – не позднее 30 дней со дня поступления обращения должна быть проведена проверка расчета и дан ответ о принятом решении;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4) заявление о выплате штрафа в пользу потребителя за нарушение порядка расчета платы за коммунальные услуги – не позднее 30 дней со дня поступления обращения должна быть проведена проверка расчета и дан ответ заявителю;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5) заявление о проверке состояния индивидуальных приборов учета, а также распределителей – не более 10 рабочих дней со дня получения заявления;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6) обращение об ознакомлении со сведениями о показаниях общедомового прибора учета – в течение 1 рабочего дня со дня обращения;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7) запрос сведений о показаниях общедомовых приборов учета за период не более трех лет – не позднее 3 рабочих дней со дня получения запроса;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8) жалоба на качество коммунальных услуг – в течение 3 рабочих дней со дня получения жалобы;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lastRenderedPageBreak/>
        <w:t>9) запросы, информации запрашиваемые за расчетные периоды о помесячных объемах потребления коммунальных ресурсов по показаниям общедомовых приборов учета; о суммарных объемах коммунальных ресурсов, потребленных в жилых и нежилых помещениях дома; об объемах коммунальных ресурсов, рассчитанных с применением нормативов потребления коммунальных услуг – не позднее 3 рабочих дней со дня получения запроса;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10) запрос о предоставлении копии Акта о причинении ущерба жизни, здоровью и имуществу собственника/пользователя помещения МКД, общему имуществу собственников (описание причиненного ущерба и обстоятельств, при которых такой ущерб был причинен) – не позднее 3 рабочих дней со дня получения запроса;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11) запрос о предоставлении копии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Правил 354 – не позднее 3 рабочих дней со дня получения запроса (абз. 7 п. 34 Правил 416);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12) требования собственника об уменьшении стоимости выполненных работ (заявление о перерасчете), о возмещении расходов по устранению недостатков выполненной работы (оказанной услуги) своими силами или третьими лицами, о возврате уплаченной за работу (услугу) денежной суммы и возмещении убытков, причиненных в связи с отказом от исполнения договора – в течение 10 дней со дня получения запроса (Статья 31 Закона РФ от 07.02.1992 № 2300-1 «О защите прав потребителей»);</w:t>
      </w:r>
    </w:p>
    <w:p w:rsid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13)</w:t>
      </w: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ab/>
        <w:t>ответ на запросы (обращения) лиц, не являющихся собственниками или пользователями помещений в МКД, направляется заявителю в течение 30 календарных дней со дня регистрации запроса (обращения). УО/ТСЖ/ЖСК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направляется в адрес заявителя до истечения 30-дневного срока рассмотрения запроса.</w:t>
      </w: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</w:p>
    <w:p w:rsidR="00C00896" w:rsidRPr="00C82A19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00896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Старший помощник прокурора                                               Р.Г.Давлятшина</w:t>
      </w:r>
      <w:bookmarkStart w:id="0" w:name="_GoBack"/>
      <w:bookmarkEnd w:id="0"/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82A19" w:rsidRPr="00C00896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  <w:r w:rsidRPr="00C00896"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  <w:t>О новом в правилах регистрации транспортных средств</w:t>
      </w: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</w:p>
    <w:p w:rsidR="00C82A19" w:rsidRPr="00C82A19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С 1 января 2020 года</w:t>
      </w:r>
      <w:r w:rsidR="00C82A19"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 xml:space="preserve"> при присвоении государственного регистрационного номера транспортному средству будет обеспечена привязка кода региона на нем к субъекту регистрации владельца транспортного средства. Соответствующие изменении внесены в Федеральный закон «О государственной регистрации транспортных средств в РФ (Федеральный закон от 30.07.2019 № 256-ФЗ).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Закон предусматривает возможность проведения регистрационных действий как с выдачей государственных регистрационных знаков, так и без выдачи, с последующим их изготовлением в уполномоченных на это организациях на основании волеизъявления владельца.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К участию в процессе регистрации будут привлекаться дилеры и заводы-изготовители транспортных средств, которые действуют от имени владельцев транспортных средств при подаче документов в регистрационные подразделения Госавтоинспекции. Также они будут осматривать транспортные средства, формировать заявление и комплект необходимых для регистрации документов.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Кроме того, уточнен порядок регистрации транспортных средств, собственники которых не достигли 16-летнего возраста. Такие транспортные средства регистрируются за одним из родителей, опекуном или попечителем, а по достижению собственником 16-летнего возраста, регистрация прекратится по инициативе регистрирующего органа для перерегистрации транспортного средства за его «повзрослевшим» собственником.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В соответствии с федеральным законом при обращении в подразделение Госавтоинспекции для проведения любых регистрационных действий доверенное лицо владельца транспортного средства обязано будет предъявить оригинал паспорта собственника или нотариально заверенную доверенность.</w:t>
      </w:r>
    </w:p>
    <w:p w:rsid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Основания для отказа в совершении регистрационных действий, предусматривают случаи нахождения транспортного средства в розыске и несоответствия регистрационных данных или конструкции транспортного средства сведениям, указанным в документах, идентифицирующих транспортное средство, а также наличия запретов или ограничений на проведение регистрационных действий.</w:t>
      </w: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</w:p>
    <w:p w:rsidR="00C00896" w:rsidRPr="00C82A19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00896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Старший помощник прокурора                                               Р.Г.Давлятшина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00896" w:rsidRDefault="00C00896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</w:p>
    <w:p w:rsidR="00C82A19" w:rsidRPr="00C00896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</w:pPr>
      <w:r w:rsidRPr="00C00896"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  <w:t>Как возместить ущерб, причиненный автомобилю при движении по автодороге ненадлежащего качества?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На территории Российской Федерации качество дорожного полотна должно быть безопасным для участников дорожного движения. Согласно статье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акты» к полномочиям органов государственной власти Российской Федерации, субъекта Российской Федерации, органов местного самоуправления в области использования автомобильных дорог и осуществления дорожной деятельности относятся, в частности, осуществление контроля за обеспечением сохранности автомобильных дорог; осуществление дорожной деятельности в отношении автомобильных дорог.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Автомобильные дороги в зависимости от их значения подразделяются на: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а) автомобильные дороги федерального значения;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б) автомобильные дороги регионального или межмуниципального значения;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в) автомобильные дороги местного значения;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г) частные автомобильные дороги.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лица, осуществляющие содержание автомобильных дорог (ст. 12 Федерального закона «О безопасности дорожного движения»).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Таким образом, в содержание автомобильных дорог входит совокупность мероприятий по поддержанию в соответствующем состоянии автодорог, а также по организации и обеспечению безопасности дорожного движения, которое осуществляется в соответствии с требованиями действующих технических регламентов.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Из приведенных норм следует, что обеспечение сохранности дорог в целях безопасности дорожного движения является публичной функцией, ответственность за ущерб, причиненный транспортному средству вследствие недостатков содержания улично-дорожной сети при условии отсутствия вины лица, управляющего транспортным средством, несет владелец автомобильной дороги.</w:t>
      </w:r>
    </w:p>
    <w:p w:rsidR="00C82A19" w:rsidRPr="00C82A19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Владельцами автомобильных дорог являются исполнительные органы государственной власти, местная администрация, а также физические или юридические лица (п. 7 ст. 3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акты»). Порядок определения собственника автомобильной дороги установлен в статье 6 указанного Федерального закона.</w:t>
      </w:r>
    </w:p>
    <w:p w:rsidR="00645F23" w:rsidRDefault="00C82A19" w:rsidP="00C82A19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  <w:r w:rsidRPr="00C82A19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lastRenderedPageBreak/>
        <w:t>Для возмещения ущерба, причиненному транспортному средству, его собственнику необходимо обратиться в суд с иском о возмещении ущерба к владельцу автомобильной дороги.</w:t>
      </w:r>
    </w:p>
    <w:p w:rsidR="00645F23" w:rsidRDefault="00645F23" w:rsidP="007E6C40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</w:pPr>
    </w:p>
    <w:p w:rsidR="00C8479E" w:rsidRPr="00A03243" w:rsidRDefault="00C00896" w:rsidP="00C00896">
      <w:pPr>
        <w:suppressAutoHyphens/>
        <w:autoSpaceDN w:val="0"/>
        <w:spacing w:after="0" w:line="315" w:lineRule="atLeast"/>
        <w:ind w:firstLine="708"/>
        <w:jc w:val="both"/>
        <w:textAlignment w:val="baseline"/>
        <w:rPr>
          <w:lang w:val="de-DE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eastAsia="ja-JP" w:bidi="fa-IR"/>
        </w:rPr>
        <w:t>С</w:t>
      </w:r>
      <w:r w:rsidR="00E54815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eastAsia="ja-JP" w:bidi="fa-IR"/>
        </w:rPr>
        <w:t>тарший помощник прокурора                                               Р.Г.Давлятшина</w:t>
      </w:r>
    </w:p>
    <w:sectPr w:rsidR="00C8479E" w:rsidRPr="00A0324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2"/>
    <w:rsid w:val="00073432"/>
    <w:rsid w:val="00287EF3"/>
    <w:rsid w:val="00645F23"/>
    <w:rsid w:val="007C0174"/>
    <w:rsid w:val="007E6C40"/>
    <w:rsid w:val="009E5A2A"/>
    <w:rsid w:val="00A03243"/>
    <w:rsid w:val="00B77CF4"/>
    <w:rsid w:val="00C00896"/>
    <w:rsid w:val="00C82A19"/>
    <w:rsid w:val="00C8479E"/>
    <w:rsid w:val="00D01649"/>
    <w:rsid w:val="00E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CFEF"/>
  <w15:chartTrackingRefBased/>
  <w15:docId w15:val="{DCDFBAF4-26F3-4621-A7C4-86494CBD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Давлятшина Руфия Габтельнуровна</dc:creator>
  <cp:keywords/>
  <dc:description/>
  <cp:lastModifiedBy>Давлятшина Руфия Габтельнуровна</cp:lastModifiedBy>
  <cp:revision>7</cp:revision>
  <dcterms:created xsi:type="dcterms:W3CDTF">2019-12-17T11:46:00Z</dcterms:created>
  <dcterms:modified xsi:type="dcterms:W3CDTF">2020-02-04T12:40:00Z</dcterms:modified>
</cp:coreProperties>
</file>