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8" w:type="dxa"/>
        <w:tblLayout w:type="fixed"/>
        <w:tblLook w:val="0000" w:firstRow="0" w:lastRow="0" w:firstColumn="0" w:lastColumn="0" w:noHBand="0" w:noVBand="0"/>
      </w:tblPr>
      <w:tblGrid>
        <w:gridCol w:w="4394"/>
        <w:gridCol w:w="5364"/>
      </w:tblGrid>
      <w:tr w:rsidR="00CC7D46" w:rsidRPr="00CC7D46" w:rsidTr="00CC7D46">
        <w:trPr>
          <w:trHeight w:val="259"/>
        </w:trPr>
        <w:tc>
          <w:tcPr>
            <w:tcW w:w="4394" w:type="dxa"/>
            <w:shd w:val="clear" w:color="auto" w:fill="auto"/>
          </w:tcPr>
          <w:p w:rsidR="00CC7D46" w:rsidRPr="00CC7D46" w:rsidRDefault="00CC7D46" w:rsidP="00CC7D46">
            <w:pPr>
              <w:suppressAutoHyphens/>
              <w:spacing w:after="0" w:line="240" w:lineRule="auto"/>
              <w:jc w:val="center"/>
              <w:rPr>
                <w:rFonts w:ascii="Times New Roman" w:eastAsia="Times New Roman" w:hAnsi="Times New Roman" w:cs="Times New Roman"/>
                <w:sz w:val="20"/>
                <w:szCs w:val="20"/>
                <w:lang w:eastAsia="ar-SA"/>
              </w:rPr>
            </w:pPr>
          </w:p>
        </w:tc>
        <w:tc>
          <w:tcPr>
            <w:tcW w:w="5364" w:type="dxa"/>
            <w:shd w:val="clear" w:color="auto" w:fill="auto"/>
          </w:tcPr>
          <w:p w:rsidR="00CC7D46" w:rsidRPr="00CC7D46" w:rsidRDefault="00CC7D46" w:rsidP="00CC7D46">
            <w:pPr>
              <w:suppressAutoHyphens/>
              <w:spacing w:after="0" w:line="240" w:lineRule="exact"/>
              <w:ind w:left="139"/>
              <w:jc w:val="both"/>
              <w:rPr>
                <w:rFonts w:ascii="Times New Roman" w:eastAsia="Times New Roman" w:hAnsi="Times New Roman" w:cs="Times New Roman"/>
                <w:sz w:val="20"/>
                <w:szCs w:val="20"/>
                <w:lang w:eastAsia="ar-SA"/>
              </w:rPr>
            </w:pPr>
          </w:p>
        </w:tc>
      </w:tr>
    </w:tbl>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Возмещение ущерба, причиненного преступлением</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 xml:space="preserve">По закону лицо, которому преступлением причинен физический, имущественный, моральный вред, постановлением следователя признается </w:t>
      </w:r>
      <w:proofErr w:type="spellStart"/>
      <w:proofErr w:type="gramStart"/>
      <w:r w:rsidRPr="00353CE1">
        <w:rPr>
          <w:rFonts w:ascii="Times New Roman" w:eastAsia="Times New Roman" w:hAnsi="Times New Roman" w:cs="Times New Roman"/>
          <w:color w:val="333333"/>
          <w:sz w:val="28"/>
          <w:szCs w:val="28"/>
          <w:lang w:eastAsia="ar-SA"/>
        </w:rPr>
        <w:t>потерпевшим.В</w:t>
      </w:r>
      <w:proofErr w:type="spellEnd"/>
      <w:proofErr w:type="gramEnd"/>
      <w:r w:rsidRPr="00353CE1">
        <w:rPr>
          <w:rFonts w:ascii="Times New Roman" w:eastAsia="Times New Roman" w:hAnsi="Times New Roman" w:cs="Times New Roman"/>
          <w:color w:val="333333"/>
          <w:sz w:val="28"/>
          <w:szCs w:val="28"/>
          <w:lang w:eastAsia="ar-SA"/>
        </w:rPr>
        <w:t xml:space="preserve"> ходе расследования уголовного дела следователь обязан определить размер причиненного ущерба, принять меры по установлению имущества обвиняемых достаточного для его возмещения, и наложить на него арест.</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Потерпевший вправе заявить гражданский иск после возбуждения уголовного дела и до окончания судебного следствия при разбирательстве уголовного дела в суде первой инстанции. В этом случае он постановлением следователя или суда признается гражданским истцом.</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Государственная пошлина за рассмотрение гражданского иска в уголовном процессе оплате не подлежит.</w:t>
      </w:r>
    </w:p>
    <w:p w:rsidR="006E00C7"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Как правило, вопрос о возмещении ущерба, причиненного преступлением, решается в приговоре суда, если отсутствует спор о его размере.</w:t>
      </w:r>
      <w:r>
        <w:rPr>
          <w:rFonts w:ascii="Times New Roman" w:eastAsia="Times New Roman" w:hAnsi="Times New Roman" w:cs="Times New Roman"/>
          <w:color w:val="333333"/>
          <w:sz w:val="28"/>
          <w:szCs w:val="28"/>
          <w:lang w:eastAsia="ar-SA"/>
        </w:rPr>
        <w:t xml:space="preserve"> </w:t>
      </w:r>
      <w:r w:rsidRPr="00353CE1">
        <w:rPr>
          <w:rFonts w:ascii="Times New Roman" w:eastAsia="Times New Roman" w:hAnsi="Times New Roman" w:cs="Times New Roman"/>
          <w:color w:val="333333"/>
          <w:sz w:val="28"/>
          <w:szCs w:val="28"/>
          <w:lang w:eastAsia="ar-SA"/>
        </w:rPr>
        <w:t>В противном случае суд может признать за гражданским истцом право на удовлетворение иска и передать вопрос о размере возмещения для рассмотрения в порядке гражданского судопроизводства.</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Почему технический этаж (чердак) и подвал в нашем доме всегда закрыт?</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Данная мера установлена Правилами и нормами технической эксплуатации жилищного фонда, утвержденными Государственного комитета Российской Федерации по строительству и жилищно-коммунальному комплексу в рамках комплекса мер по противодействию терроризму. Свободный доступ на чердаки и в подвалы многоквартирных домов не допустим.</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Указанные правила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В соответствии с Правилами двери с лестничных площадок на чердак должны быть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Также не допускается доступ на чердак посторонних лиц, входы из лестничных клеток на чердак или кровлю.</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r w:rsidRPr="00353CE1">
        <w:rPr>
          <w:rFonts w:ascii="Times New Roman" w:eastAsia="Times New Roman" w:hAnsi="Times New Roman" w:cs="Times New Roman"/>
          <w:bCs/>
          <w:color w:val="333333"/>
          <w:sz w:val="28"/>
          <w:szCs w:val="28"/>
          <w:lang w:eastAsia="ar-SA"/>
        </w:rPr>
        <w:t>Какая ответственность наступа</w:t>
      </w:r>
      <w:r>
        <w:rPr>
          <w:rFonts w:ascii="Times New Roman" w:eastAsia="Times New Roman" w:hAnsi="Times New Roman" w:cs="Times New Roman"/>
          <w:bCs/>
          <w:color w:val="333333"/>
          <w:sz w:val="28"/>
          <w:szCs w:val="28"/>
          <w:lang w:eastAsia="ar-SA"/>
        </w:rPr>
        <w:t>ет за организацию азартных игр?</w:t>
      </w:r>
    </w:p>
    <w:p w:rsidR="00353CE1" w:rsidRPr="00353CE1" w:rsidRDefault="00353CE1" w:rsidP="00353CE1">
      <w:pPr>
        <w:suppressAutoHyphens/>
        <w:spacing w:after="0" w:line="240" w:lineRule="auto"/>
        <w:jc w:val="both"/>
        <w:rPr>
          <w:rFonts w:ascii="Times New Roman" w:eastAsia="Times New Roman" w:hAnsi="Times New Roman" w:cs="Times New Roman"/>
          <w:bCs/>
          <w:color w:val="333333"/>
          <w:sz w:val="28"/>
          <w:szCs w:val="28"/>
          <w:lang w:eastAsia="ar-SA"/>
        </w:rPr>
      </w:pP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Законом предусмотрена уголовная ответственность за организацию и проведение азартных игр без получения лицензии в букмекерских конторах и тотализаторах вне игорной зоны, а также систематическое (т. е. более двух раз) предоставление помещений для незаконных азартных игр. Ранее была предусмотрена только административная ответственность.</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За проведение азартных игр без лицензии вне игорной зоны будет грозить наказание вплоть до лишения свободы на срок до двух лет.</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 xml:space="preserve">Те же деяния, совершенные группой лиц по предварительному сговору или сопряженные с извлечением дохода в крупном размере, наказываются лишением свободы на срок до четырех лет со штрафом в размере до 500 тыс. рублей. </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Если эти действия будут совершены организованной группой или лицом с использованием своего служебного положения или сопряжены с извлечением дохода в особо крупном размере, предусматривается наказание в виде лишения свободы на срок до шести лет со штрафом в размере до 1 млн рублей с лишением права занимать определенные должности.</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 xml:space="preserve">В соответствии с внесенными в КоАП изменениями увеличивается с одного до двух лет срок давности привлечения к административной ответственности за незаконные организацию и проведение азартных игр. </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Также устанавливается административная ответственность за организацию и проведение азартных игр с использованием игрового оборудования вне игорной зоны, либо без соответствующей лицензии для юридических лиц. В таком случае грозит штраф в размере от 800 тыс. до 1,5 млн рублей с конфискацией игрового оборудования.</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За нарушение требований к местам распространения лотерейных билетов или электронных лотерейных билетов либо установки лотерейных терминалов будет взиматься штраф: с граждан — от 3 тыс. до 5 тыс. рублей; с должностных лиц — от 15 тыс. до 30 тыс. рублей; с юридических лиц — от 13 тыс. до 50 тыс. рублей.</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8"/>
          <w:szCs w:val="28"/>
          <w:lang w:eastAsia="ar-SA"/>
        </w:rPr>
      </w:pPr>
      <w:r w:rsidRPr="00353CE1">
        <w:rPr>
          <w:rFonts w:ascii="Times New Roman" w:eastAsia="Times New Roman" w:hAnsi="Times New Roman" w:cs="Times New Roman"/>
          <w:color w:val="333333"/>
          <w:sz w:val="28"/>
          <w:szCs w:val="28"/>
          <w:lang w:eastAsia="ar-SA"/>
        </w:rPr>
        <w:t xml:space="preserve">Введена уголовная ответственность за распространение недостоверной информации о работе государственных органов России </w:t>
      </w:r>
      <w:proofErr w:type="spellStart"/>
      <w:r w:rsidRPr="00353CE1">
        <w:rPr>
          <w:rFonts w:ascii="Times New Roman" w:eastAsia="Times New Roman" w:hAnsi="Times New Roman" w:cs="Times New Roman"/>
          <w:color w:val="333333"/>
          <w:sz w:val="28"/>
          <w:szCs w:val="28"/>
          <w:lang w:eastAsia="ar-SA"/>
        </w:rPr>
        <w:t>зарубежом</w:t>
      </w:r>
      <w:proofErr w:type="spellEnd"/>
      <w:r w:rsidRPr="00353CE1">
        <w:rPr>
          <w:rFonts w:ascii="Times New Roman" w:eastAsia="Times New Roman" w:hAnsi="Times New Roman" w:cs="Times New Roman"/>
          <w:color w:val="333333"/>
          <w:sz w:val="28"/>
          <w:szCs w:val="28"/>
          <w:lang w:eastAsia="ar-SA"/>
        </w:rPr>
        <w:t>.</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8"/>
          <w:szCs w:val="28"/>
          <w:lang w:eastAsia="ar-SA"/>
        </w:rPr>
      </w:pP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353CE1">
        <w:rPr>
          <w:rFonts w:ascii="Times New Roman" w:eastAsia="Times New Roman" w:hAnsi="Times New Roman" w:cs="Times New Roman"/>
          <w:color w:val="333333"/>
          <w:sz w:val="24"/>
          <w:szCs w:val="24"/>
          <w:lang w:eastAsia="ar-SA"/>
        </w:rPr>
        <w:t xml:space="preserve">Президент Российской Федерации Владимир Владимирович Путин подписал закон о поправках в Уголовный кодекс РФ, а также </w:t>
      </w:r>
      <w:proofErr w:type="gramStart"/>
      <w:r w:rsidRPr="00353CE1">
        <w:rPr>
          <w:rFonts w:ascii="Times New Roman" w:eastAsia="Times New Roman" w:hAnsi="Times New Roman" w:cs="Times New Roman"/>
          <w:color w:val="333333"/>
          <w:sz w:val="24"/>
          <w:szCs w:val="24"/>
          <w:lang w:eastAsia="ar-SA"/>
        </w:rPr>
        <w:t xml:space="preserve">закон </w:t>
      </w:r>
      <w:r w:rsidRPr="00353CE1">
        <w:rPr>
          <w:rFonts w:ascii="Times New Roman" w:eastAsia="Times New Roman" w:hAnsi="Times New Roman" w:cs="Times New Roman"/>
          <w:color w:val="333333"/>
          <w:sz w:val="24"/>
          <w:szCs w:val="24"/>
          <w:lang w:eastAsia="ar-SA"/>
        </w:rPr>
        <w:t xml:space="preserve"> </w:t>
      </w:r>
      <w:r w:rsidRPr="00353CE1">
        <w:rPr>
          <w:rFonts w:ascii="Times New Roman" w:eastAsia="Times New Roman" w:hAnsi="Times New Roman" w:cs="Times New Roman"/>
          <w:color w:val="333333"/>
          <w:sz w:val="24"/>
          <w:szCs w:val="24"/>
          <w:lang w:eastAsia="ar-SA"/>
        </w:rPr>
        <w:t>об</w:t>
      </w:r>
      <w:proofErr w:type="gramEnd"/>
      <w:r w:rsidRPr="00353CE1">
        <w:rPr>
          <w:rFonts w:ascii="Times New Roman" w:eastAsia="Times New Roman" w:hAnsi="Times New Roman" w:cs="Times New Roman"/>
          <w:color w:val="333333"/>
          <w:sz w:val="24"/>
          <w:szCs w:val="24"/>
          <w:lang w:eastAsia="ar-SA"/>
        </w:rPr>
        <w:t xml:space="preserve"> изменениях в Кодекс об адм</w:t>
      </w:r>
      <w:r w:rsidRPr="00353CE1">
        <w:rPr>
          <w:rFonts w:ascii="Times New Roman" w:eastAsia="Times New Roman" w:hAnsi="Times New Roman" w:cs="Times New Roman"/>
          <w:color w:val="333333"/>
          <w:sz w:val="24"/>
          <w:szCs w:val="24"/>
          <w:lang w:eastAsia="ar-SA"/>
        </w:rPr>
        <w:t xml:space="preserve">инистративных правонарушениях, </w:t>
      </w:r>
      <w:r w:rsidRPr="00353CE1">
        <w:rPr>
          <w:rFonts w:ascii="Times New Roman" w:eastAsia="Times New Roman" w:hAnsi="Times New Roman" w:cs="Times New Roman"/>
          <w:color w:val="333333"/>
          <w:sz w:val="24"/>
          <w:szCs w:val="24"/>
          <w:lang w:eastAsia="ar-SA"/>
        </w:rPr>
        <w:t>в соответствии с которыми устанавливается ответственность за распространение недостоверной информации о работе государственных органов России за рубежом.</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353CE1">
        <w:rPr>
          <w:rFonts w:ascii="Times New Roman" w:eastAsia="Times New Roman" w:hAnsi="Times New Roman" w:cs="Times New Roman"/>
          <w:color w:val="333333"/>
          <w:sz w:val="24"/>
          <w:szCs w:val="24"/>
          <w:lang w:eastAsia="ar-SA"/>
        </w:rPr>
        <w:t xml:space="preserve">Законами дополняются уже принятые и вступившие в силу нормы об административной и уголовной ответственности за распространение </w:t>
      </w:r>
      <w:proofErr w:type="spellStart"/>
      <w:r w:rsidRPr="00353CE1">
        <w:rPr>
          <w:rFonts w:ascii="Times New Roman" w:eastAsia="Times New Roman" w:hAnsi="Times New Roman" w:cs="Times New Roman"/>
          <w:color w:val="333333"/>
          <w:sz w:val="24"/>
          <w:szCs w:val="24"/>
          <w:lang w:eastAsia="ar-SA"/>
        </w:rPr>
        <w:t>фейков</w:t>
      </w:r>
      <w:proofErr w:type="spellEnd"/>
      <w:r w:rsidRPr="00353CE1">
        <w:rPr>
          <w:rFonts w:ascii="Times New Roman" w:eastAsia="Times New Roman" w:hAnsi="Times New Roman" w:cs="Times New Roman"/>
          <w:color w:val="333333"/>
          <w:sz w:val="24"/>
          <w:szCs w:val="24"/>
          <w:lang w:eastAsia="ar-SA"/>
        </w:rPr>
        <w:t xml:space="preserve"> </w:t>
      </w:r>
      <w:r w:rsidRPr="00353CE1">
        <w:rPr>
          <w:rFonts w:ascii="Times New Roman" w:eastAsia="Times New Roman" w:hAnsi="Times New Roman" w:cs="Times New Roman"/>
          <w:color w:val="333333"/>
          <w:sz w:val="24"/>
          <w:szCs w:val="24"/>
          <w:lang w:eastAsia="ar-SA"/>
        </w:rPr>
        <w:t xml:space="preserve">о действиях Вооруженных Сил РФ. </w:t>
      </w:r>
      <w:r w:rsidRPr="00353CE1">
        <w:rPr>
          <w:rFonts w:ascii="Times New Roman" w:eastAsia="Times New Roman" w:hAnsi="Times New Roman" w:cs="Times New Roman"/>
          <w:color w:val="333333"/>
          <w:sz w:val="24"/>
          <w:szCs w:val="24"/>
          <w:lang w:eastAsia="ar-SA"/>
        </w:rPr>
        <w:t>В соответствии с поправками в УК РФ, за «публичное распространение под видом достоверных сообщений заведомо ложной информации, содержащей данные об исполнении государственными органами РФ своих полномочий за пределами территории РФ в целях защиты интересов РФ и ее граждан, поддержания международного мира и безопасности», будет грозить штраф в размере от 700 тыс. до 1,5 млн рублей либо лишен</w:t>
      </w:r>
      <w:r w:rsidRPr="00353CE1">
        <w:rPr>
          <w:rFonts w:ascii="Times New Roman" w:eastAsia="Times New Roman" w:hAnsi="Times New Roman" w:cs="Times New Roman"/>
          <w:color w:val="333333"/>
          <w:sz w:val="24"/>
          <w:szCs w:val="24"/>
          <w:lang w:eastAsia="ar-SA"/>
        </w:rPr>
        <w:t xml:space="preserve">ие свободы на срок до трех лет. </w:t>
      </w:r>
      <w:r w:rsidRPr="00353CE1">
        <w:rPr>
          <w:rFonts w:ascii="Times New Roman" w:eastAsia="Times New Roman" w:hAnsi="Times New Roman" w:cs="Times New Roman"/>
          <w:color w:val="333333"/>
          <w:sz w:val="24"/>
          <w:szCs w:val="24"/>
          <w:lang w:eastAsia="ar-SA"/>
        </w:rPr>
        <w:t xml:space="preserve">То же деяние, совершенное с использованием служебного положения, либо группой лиц, либо «с искусственным созданием доказательств обвинения» или «из корыстных побуждений», либо «по мотивам политической, идеологической, расовой, национальной или религиозной </w:t>
      </w:r>
      <w:proofErr w:type="gramStart"/>
      <w:r w:rsidRPr="00353CE1">
        <w:rPr>
          <w:rFonts w:ascii="Times New Roman" w:eastAsia="Times New Roman" w:hAnsi="Times New Roman" w:cs="Times New Roman"/>
          <w:color w:val="333333"/>
          <w:sz w:val="24"/>
          <w:szCs w:val="24"/>
          <w:lang w:eastAsia="ar-SA"/>
        </w:rPr>
        <w:t>ненависти</w:t>
      </w:r>
      <w:proofErr w:type="gramEnd"/>
      <w:r w:rsidRPr="00353CE1">
        <w:rPr>
          <w:rFonts w:ascii="Times New Roman" w:eastAsia="Times New Roman" w:hAnsi="Times New Roman" w:cs="Times New Roman"/>
          <w:color w:val="333333"/>
          <w:sz w:val="24"/>
          <w:szCs w:val="24"/>
          <w:lang w:eastAsia="ar-SA"/>
        </w:rPr>
        <w:t xml:space="preserve"> или вражды», предлагается наказывать штрафом в размере от 3 млн до 5 млн рублей либо лишением свободы на срок от пяти до 10 лет.</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353CE1">
        <w:rPr>
          <w:rFonts w:ascii="Times New Roman" w:eastAsia="Times New Roman" w:hAnsi="Times New Roman" w:cs="Times New Roman"/>
          <w:color w:val="333333"/>
          <w:sz w:val="24"/>
          <w:szCs w:val="24"/>
          <w:lang w:eastAsia="ar-SA"/>
        </w:rPr>
        <w:t>Если же упомянутые деяния повлекли тяжкие последствия, то они будут наказываться лишением свободы на срок от 10 до 15 лет.</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353CE1">
        <w:rPr>
          <w:rFonts w:ascii="Times New Roman" w:eastAsia="Times New Roman" w:hAnsi="Times New Roman" w:cs="Times New Roman"/>
          <w:color w:val="333333"/>
          <w:sz w:val="24"/>
          <w:szCs w:val="24"/>
          <w:lang w:eastAsia="ar-SA"/>
        </w:rPr>
        <w:t>Кроме распространения заведомо ложной информации, уголовная ответственность также будет грозить за «публичные действия, направленные на дискредитацию исполнения госорганами РФ своих полномочий за пределами территории РФ». Штраф составит от 100 тыс. до 300 тыс. рублей, либо возможно лишение свободы на срок до трех лет. Если же эти деяния повлекли последствия, то максимальный срок лишения свободы — до пяти лет.</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353CE1">
        <w:rPr>
          <w:rFonts w:ascii="Times New Roman" w:eastAsia="Times New Roman" w:hAnsi="Times New Roman" w:cs="Times New Roman"/>
          <w:color w:val="333333"/>
          <w:sz w:val="24"/>
          <w:szCs w:val="24"/>
          <w:lang w:eastAsia="ar-SA"/>
        </w:rPr>
        <w:t>Также внесены корреспондирующие поправки в КоАП РФ. Так, публичные действия, «направленные на дискредитацию исполнения госорганами РФ своих полномочий за пределами территории РФ» повлекут наложение административного штрафа: на граждан в размере от 30 тыс. до 50 тыс. рублей; на должностных лиц — от 100 тыс. до 200 тыс. рублей; на юридических лиц — от 300 тыс. до 500 тыс. рублей.</w:t>
      </w:r>
    </w:p>
    <w:p w:rsidR="00353CE1" w:rsidRPr="00353CE1" w:rsidRDefault="00353CE1" w:rsidP="00353CE1">
      <w:pPr>
        <w:suppressAutoHyphens/>
        <w:spacing w:after="0" w:line="240" w:lineRule="auto"/>
        <w:ind w:firstLine="708"/>
        <w:jc w:val="both"/>
        <w:rPr>
          <w:rFonts w:ascii="Times New Roman" w:eastAsia="Times New Roman" w:hAnsi="Times New Roman" w:cs="Times New Roman"/>
          <w:color w:val="333333"/>
          <w:sz w:val="24"/>
          <w:szCs w:val="24"/>
          <w:lang w:eastAsia="ar-SA"/>
        </w:rPr>
      </w:pPr>
      <w:r w:rsidRPr="00353CE1">
        <w:rPr>
          <w:rFonts w:ascii="Times New Roman" w:eastAsia="Times New Roman" w:hAnsi="Times New Roman" w:cs="Times New Roman"/>
          <w:color w:val="333333"/>
          <w:sz w:val="24"/>
          <w:szCs w:val="24"/>
          <w:lang w:eastAsia="ar-SA"/>
        </w:rPr>
        <w:t>Предусмотрено наказание за случаи, когда такие действия сопровождаются «призывами к проведению несанкционированных публичных мероприятий, а равно создают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4"/>
          <w:szCs w:val="24"/>
          <w:lang w:eastAsia="ar-SA"/>
        </w:rPr>
      </w:pPr>
      <w:r w:rsidRPr="00353CE1">
        <w:rPr>
          <w:rFonts w:ascii="Times New Roman" w:eastAsia="Times New Roman" w:hAnsi="Times New Roman" w:cs="Times New Roman"/>
          <w:color w:val="333333"/>
          <w:sz w:val="24"/>
          <w:szCs w:val="24"/>
          <w:lang w:eastAsia="ar-SA"/>
        </w:rPr>
        <w:t>В этих случаях они влекут наложение административного штрафа: на граждан в размере от 50 тыс. до 100 тыс. рублей; на должностных лиц — от 200 тыс. до 300 тыс. рублей; на юридических лиц — от 500 тыс. до 1 млн рублей.</w:t>
      </w:r>
    </w:p>
    <w:p w:rsidR="00353CE1" w:rsidRPr="00353CE1" w:rsidRDefault="00353CE1" w:rsidP="00353CE1">
      <w:pPr>
        <w:suppressAutoHyphens/>
        <w:spacing w:after="0" w:line="240" w:lineRule="auto"/>
        <w:jc w:val="both"/>
        <w:rPr>
          <w:rFonts w:ascii="Times New Roman" w:eastAsia="Times New Roman" w:hAnsi="Times New Roman" w:cs="Times New Roman"/>
          <w:color w:val="333333"/>
          <w:sz w:val="24"/>
          <w:szCs w:val="24"/>
          <w:lang w:eastAsia="ar-SA"/>
        </w:rPr>
      </w:pPr>
      <w:r w:rsidRPr="00353CE1">
        <w:rPr>
          <w:rFonts w:ascii="Times New Roman" w:eastAsia="Times New Roman" w:hAnsi="Times New Roman" w:cs="Times New Roman"/>
          <w:color w:val="333333"/>
          <w:sz w:val="24"/>
          <w:szCs w:val="24"/>
          <w:lang w:eastAsia="ar-SA"/>
        </w:rPr>
        <w:t>Если гражданин привлекался к административной ответственности по данной статье в течение года, ему будет грозить уже уголовное наказание.</w:t>
      </w:r>
      <w:bookmarkStart w:id="0" w:name="_GoBack"/>
      <w:bookmarkEnd w:id="0"/>
    </w:p>
    <w:sectPr w:rsidR="00353CE1" w:rsidRPr="00353CE1" w:rsidSect="006E00C7">
      <w:headerReference w:type="default" r:id="rId6"/>
      <w:footerReference w:type="even" r:id="rId7"/>
      <w:footerReference w:type="default" r:id="rId8"/>
      <w:headerReference w:type="first" r:id="rId9"/>
      <w:footerReference w:type="first" r:id="rId10"/>
      <w:pgSz w:w="11906" w:h="16838"/>
      <w:pgMar w:top="851" w:right="282"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F7" w:rsidRDefault="00FE19F7">
      <w:pPr>
        <w:spacing w:after="0" w:line="240" w:lineRule="auto"/>
      </w:pPr>
      <w:r>
        <w:separator/>
      </w:r>
    </w:p>
  </w:endnote>
  <w:endnote w:type="continuationSeparator" w:id="0">
    <w:p w:rsidR="00FE19F7" w:rsidRDefault="00FE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81" w:rsidRDefault="00EE3E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81" w:rsidRDefault="00EE3E8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81" w:rsidRDefault="00EE3E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F7" w:rsidRDefault="00FE19F7">
      <w:pPr>
        <w:spacing w:after="0" w:line="240" w:lineRule="auto"/>
      </w:pPr>
      <w:r>
        <w:separator/>
      </w:r>
    </w:p>
  </w:footnote>
  <w:footnote w:type="continuationSeparator" w:id="0">
    <w:p w:rsidR="00FE19F7" w:rsidRDefault="00FE1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81" w:rsidRDefault="00CC7D46">
    <w:pPr>
      <w:pStyle w:val="a5"/>
    </w:pPr>
    <w:r>
      <w:rPr>
        <w:noProof/>
        <w:lang w:eastAsia="ru-RU"/>
      </w:rPr>
      <mc:AlternateContent>
        <mc:Choice Requires="wps">
          <w:drawing>
            <wp:anchor distT="0" distB="0" distL="0" distR="0" simplePos="0" relativeHeight="251659264" behindDoc="0" locked="0" layoutInCell="1" allowOverlap="1">
              <wp:simplePos x="0" y="0"/>
              <wp:positionH relativeFrom="page">
                <wp:posOffset>3932555</wp:posOffset>
              </wp:positionH>
              <wp:positionV relativeFrom="paragraph">
                <wp:posOffset>464185</wp:posOffset>
              </wp:positionV>
              <wp:extent cx="88900" cy="203835"/>
              <wp:effectExtent l="8255" t="6985" r="7620" b="825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E81" w:rsidRDefault="006E00C7">
                          <w:pPr>
                            <w:pStyle w:val="a5"/>
                          </w:pPr>
                          <w:r>
                            <w:rPr>
                              <w:rStyle w:val="a9"/>
                              <w:sz w:val="28"/>
                            </w:rPr>
                            <w:fldChar w:fldCharType="begin"/>
                          </w:r>
                          <w:r>
                            <w:rPr>
                              <w:rStyle w:val="a9"/>
                              <w:sz w:val="28"/>
                            </w:rPr>
                            <w:instrText xml:space="preserve"> PAGE </w:instrText>
                          </w:r>
                          <w:r>
                            <w:rPr>
                              <w:rStyle w:val="a9"/>
                              <w:sz w:val="28"/>
                            </w:rPr>
                            <w:fldChar w:fldCharType="separate"/>
                          </w:r>
                          <w:r w:rsidR="00353CE1">
                            <w:rPr>
                              <w:rStyle w:val="a9"/>
                              <w:noProof/>
                              <w:sz w:val="28"/>
                            </w:rPr>
                            <w:t>4</w:t>
                          </w:r>
                          <w:r>
                            <w:rPr>
                              <w:rStyle w:val="a9"/>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09.65pt;margin-top:36.55pt;width:7pt;height:16.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" stroked="f">
              <v:fill opacity="0"/>
              <v:textbox inset="0,0,0,0">
                <w:txbxContent>
                  <w:p w:rsidR="00EE3E81" w:rsidRDefault="006E00C7">
                    <w:pPr>
                      <w:pStyle w:val="a5"/>
                    </w:pPr>
                    <w:r>
                      <w:rPr>
                        <w:rStyle w:val="a9"/>
                        <w:sz w:val="28"/>
                      </w:rPr>
                      <w:fldChar w:fldCharType="begin"/>
                    </w:r>
                    <w:r>
                      <w:rPr>
                        <w:rStyle w:val="a9"/>
                        <w:sz w:val="28"/>
                      </w:rPr>
                      <w:instrText xml:space="preserve"> PAGE </w:instrText>
                    </w:r>
                    <w:r>
                      <w:rPr>
                        <w:rStyle w:val="a9"/>
                        <w:sz w:val="28"/>
                      </w:rPr>
                      <w:fldChar w:fldCharType="separate"/>
                    </w:r>
                    <w:r w:rsidR="00353CE1">
                      <w:rPr>
                        <w:rStyle w:val="a9"/>
                        <w:noProof/>
                        <w:sz w:val="28"/>
                      </w:rPr>
                      <w:t>4</w:t>
                    </w:r>
                    <w:r>
                      <w:rPr>
                        <w:rStyle w:val="a9"/>
                        <w:sz w:val="28"/>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E81" w:rsidRDefault="00EE3E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2F"/>
    <w:rsid w:val="000F1D2F"/>
    <w:rsid w:val="001B6439"/>
    <w:rsid w:val="00353CE1"/>
    <w:rsid w:val="00544A3F"/>
    <w:rsid w:val="006E00C7"/>
    <w:rsid w:val="00906BC5"/>
    <w:rsid w:val="0097765C"/>
    <w:rsid w:val="00CC7D46"/>
    <w:rsid w:val="00E15513"/>
    <w:rsid w:val="00E30BCD"/>
    <w:rsid w:val="00EC3FC5"/>
    <w:rsid w:val="00EE3E81"/>
    <w:rsid w:val="00FE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3F9AF"/>
  <w15:chartTrackingRefBased/>
  <w15:docId w15:val="{A530F45F-7E18-457D-B5D2-3539CBFB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5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5513"/>
    <w:rPr>
      <w:rFonts w:ascii="Segoe UI" w:hAnsi="Segoe UI" w:cs="Segoe UI"/>
      <w:sz w:val="18"/>
      <w:szCs w:val="18"/>
    </w:rPr>
  </w:style>
  <w:style w:type="paragraph" w:styleId="a5">
    <w:name w:val="header"/>
    <w:basedOn w:val="a"/>
    <w:link w:val="a6"/>
    <w:uiPriority w:val="99"/>
    <w:semiHidden/>
    <w:unhideWhenUsed/>
    <w:rsid w:val="00CC7D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C7D46"/>
  </w:style>
  <w:style w:type="paragraph" w:styleId="a7">
    <w:name w:val="footer"/>
    <w:basedOn w:val="a"/>
    <w:link w:val="a8"/>
    <w:uiPriority w:val="99"/>
    <w:semiHidden/>
    <w:unhideWhenUsed/>
    <w:rsid w:val="00CC7D4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C7D46"/>
  </w:style>
  <w:style w:type="character" w:styleId="a9">
    <w:name w:val="page number"/>
    <w:basedOn w:val="a0"/>
    <w:rsid w:val="00CC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Давлятшина Руфия Габтельнуровна</dc:creator>
  <cp:keywords/>
  <dc:description/>
  <cp:lastModifiedBy>Давлятшина Руфия Габтельнуровна</cp:lastModifiedBy>
  <cp:revision>9</cp:revision>
  <cp:lastPrinted>2021-07-06T13:22:00Z</cp:lastPrinted>
  <dcterms:created xsi:type="dcterms:W3CDTF">2021-07-06T12:55:00Z</dcterms:created>
  <dcterms:modified xsi:type="dcterms:W3CDTF">2022-09-05T09:18:00Z</dcterms:modified>
</cp:coreProperties>
</file>