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87" w:rsidRDefault="00227487" w:rsidP="00A042E2">
      <w:pPr>
        <w:spacing w:before="100" w:beforeAutospacing="1"/>
        <w:rPr>
          <w:szCs w:val="28"/>
        </w:rPr>
      </w:pPr>
    </w:p>
    <w:p w:rsidR="00A042E2" w:rsidRDefault="00A042E2" w:rsidP="00BB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364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A042E2" w:rsidRDefault="00A042E2" w:rsidP="00BB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364A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042E2" w:rsidRPr="00C45F5F" w:rsidRDefault="00A042E2" w:rsidP="00BB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5F5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права на размещение</w:t>
      </w:r>
    </w:p>
    <w:p w:rsidR="00A042E2" w:rsidRPr="00C45F5F" w:rsidRDefault="00A042E2" w:rsidP="00BB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5F5F">
        <w:rPr>
          <w:rFonts w:ascii="Times New Roman" w:hAnsi="Times New Roman" w:cs="Times New Roman"/>
          <w:sz w:val="28"/>
          <w:szCs w:val="28"/>
        </w:rPr>
        <w:t>нестационарного торгового объекта на территории</w:t>
      </w:r>
    </w:p>
    <w:p w:rsidR="00A042E2" w:rsidRDefault="00A042E2" w:rsidP="00BB519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  <w:r w:rsidRPr="00C45F5F">
        <w:rPr>
          <w:b/>
          <w:color w:val="3B2D36"/>
          <w:sz w:val="28"/>
          <w:szCs w:val="28"/>
        </w:rPr>
        <w:t xml:space="preserve">муниципального образования </w:t>
      </w:r>
    </w:p>
    <w:p w:rsidR="00A042E2" w:rsidRDefault="00A042E2" w:rsidP="00BB519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  <w:r w:rsidRPr="00C45F5F">
        <w:rPr>
          <w:b/>
          <w:color w:val="3B2D36"/>
          <w:sz w:val="28"/>
          <w:szCs w:val="28"/>
        </w:rPr>
        <w:t>Вятскополянский муниципальный район Кировской области</w:t>
      </w:r>
      <w:r>
        <w:rPr>
          <w:b/>
          <w:color w:val="3B2D36"/>
          <w:sz w:val="28"/>
          <w:szCs w:val="28"/>
        </w:rPr>
        <w:t>».</w:t>
      </w:r>
    </w:p>
    <w:p w:rsidR="00A042E2" w:rsidRDefault="00A042E2" w:rsidP="00A042E2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15"/>
        <w:gridCol w:w="2675"/>
        <w:gridCol w:w="400"/>
        <w:gridCol w:w="2271"/>
        <w:gridCol w:w="215"/>
        <w:gridCol w:w="215"/>
        <w:gridCol w:w="2629"/>
      </w:tblGrid>
      <w:tr w:rsidR="003A6DE7" w:rsidRPr="008E63E2" w:rsidTr="00A042E2">
        <w:trPr>
          <w:trHeight w:val="15"/>
          <w:tblCellSpacing w:w="15" w:type="dxa"/>
        </w:trPr>
        <w:tc>
          <w:tcPr>
            <w:tcW w:w="923" w:type="dxa"/>
            <w:vAlign w:val="center"/>
            <w:hideMark/>
          </w:tcPr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Align w:val="center"/>
            <w:hideMark/>
          </w:tcPr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  <w:hideMark/>
          </w:tcPr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4" w:type="dxa"/>
            <w:vAlign w:val="center"/>
            <w:hideMark/>
          </w:tcPr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F002DE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7B70" w:rsidRDefault="00F81B28" w:rsidP="00B57B70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Срок проведения публичного обсуждения:</w:t>
            </w:r>
          </w:p>
          <w:p w:rsidR="00F81B28" w:rsidRPr="008E63E2" w:rsidRDefault="00F81B28" w:rsidP="00B57B70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начало "</w:t>
            </w:r>
            <w:r w:rsidR="00812487">
              <w:rPr>
                <w:sz w:val="24"/>
                <w:szCs w:val="24"/>
              </w:rPr>
              <w:t>2</w:t>
            </w:r>
            <w:r w:rsidR="00F002DE">
              <w:rPr>
                <w:sz w:val="24"/>
                <w:szCs w:val="24"/>
              </w:rPr>
              <w:t>5</w:t>
            </w:r>
            <w:r w:rsidRPr="008E63E2">
              <w:rPr>
                <w:sz w:val="24"/>
                <w:szCs w:val="24"/>
              </w:rPr>
              <w:t xml:space="preserve">" </w:t>
            </w:r>
            <w:r w:rsidR="00812487">
              <w:rPr>
                <w:sz w:val="24"/>
                <w:szCs w:val="24"/>
              </w:rPr>
              <w:t>сент</w:t>
            </w:r>
            <w:r w:rsidR="00A042E2">
              <w:rPr>
                <w:sz w:val="24"/>
                <w:szCs w:val="24"/>
              </w:rPr>
              <w:t xml:space="preserve">ября </w:t>
            </w:r>
            <w:r w:rsidRPr="008E63E2">
              <w:rPr>
                <w:sz w:val="24"/>
                <w:szCs w:val="24"/>
              </w:rPr>
              <w:t>20</w:t>
            </w:r>
            <w:r w:rsidR="00A042E2">
              <w:rPr>
                <w:sz w:val="24"/>
                <w:szCs w:val="24"/>
              </w:rPr>
              <w:t xml:space="preserve">19 </w:t>
            </w:r>
            <w:r w:rsidRPr="008E63E2">
              <w:rPr>
                <w:sz w:val="24"/>
                <w:szCs w:val="24"/>
              </w:rPr>
              <w:t>г.</w:t>
            </w:r>
          </w:p>
          <w:p w:rsidR="00F81B28" w:rsidRPr="008E63E2" w:rsidRDefault="00F81B28" w:rsidP="0081248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окончание "</w:t>
            </w:r>
            <w:r w:rsidR="00812487">
              <w:rPr>
                <w:sz w:val="24"/>
                <w:szCs w:val="24"/>
              </w:rPr>
              <w:t>2</w:t>
            </w:r>
            <w:r w:rsidRPr="008E63E2">
              <w:rPr>
                <w:sz w:val="24"/>
                <w:szCs w:val="24"/>
              </w:rPr>
              <w:t xml:space="preserve">" </w:t>
            </w:r>
            <w:r w:rsidR="00A042E2">
              <w:rPr>
                <w:sz w:val="24"/>
                <w:szCs w:val="24"/>
              </w:rPr>
              <w:t xml:space="preserve">октября </w:t>
            </w:r>
            <w:r w:rsidRPr="008E63E2">
              <w:rPr>
                <w:sz w:val="24"/>
                <w:szCs w:val="24"/>
              </w:rPr>
              <w:t>20</w:t>
            </w:r>
            <w:r w:rsidR="00A042E2">
              <w:rPr>
                <w:sz w:val="24"/>
                <w:szCs w:val="24"/>
              </w:rPr>
              <w:t xml:space="preserve">19 </w:t>
            </w:r>
            <w:r w:rsidRPr="008E63E2">
              <w:rPr>
                <w:sz w:val="24"/>
                <w:szCs w:val="24"/>
              </w:rPr>
              <w:t>г.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46991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1. Общая информация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4D4A52">
            <w:pPr>
              <w:pStyle w:val="ad"/>
              <w:spacing w:before="0" w:beforeAutospacing="0" w:after="0" w:afterAutospacing="0"/>
            </w:pPr>
            <w:r w:rsidRPr="008E63E2">
              <w:t>Вид и наименование проекта правового акта:</w:t>
            </w:r>
            <w:r w:rsidRPr="008E63E2">
              <w:br/>
            </w:r>
            <w:bookmarkStart w:id="0" w:name="_GoBack"/>
            <w:bookmarkEnd w:id="0"/>
          </w:p>
          <w:p w:rsidR="00F81B28" w:rsidRPr="008E63E2" w:rsidRDefault="00A042E2" w:rsidP="004D4A52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Постановление администрации </w:t>
            </w:r>
            <w:proofErr w:type="spellStart"/>
            <w:r w:rsidRPr="00A042E2">
              <w:t>Вятскополянского</w:t>
            </w:r>
            <w:proofErr w:type="spellEnd"/>
            <w:r w:rsidRPr="00A042E2">
              <w:t xml:space="preserve"> района «Об утверждении Порядка предоставления права на размещение нестационарного торгового объекта на территории муниципального образования Вятскополянский муниципальный район»</w:t>
            </w:r>
            <w:r w:rsidR="00B57B70">
              <w:t>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A042E2">
            <w:pPr>
              <w:pStyle w:val="ad"/>
              <w:spacing w:before="0" w:beforeAutospacing="0" w:after="0" w:afterAutospacing="0"/>
              <w:jc w:val="both"/>
            </w:pPr>
            <w:r w:rsidRPr="008E63E2">
              <w:t>Разработчик:</w:t>
            </w:r>
          </w:p>
          <w:p w:rsidR="00A042E2" w:rsidRPr="00A042E2" w:rsidRDefault="00F81B28" w:rsidP="00A042E2">
            <w:pPr>
              <w:pStyle w:val="ad"/>
              <w:spacing w:before="0" w:beforeAutospacing="0" w:after="0" w:afterAutospacing="0"/>
              <w:jc w:val="both"/>
            </w:pPr>
            <w:r w:rsidRPr="008E63E2">
              <w:br/>
            </w:r>
            <w:r w:rsidR="004D4A52">
              <w:t xml:space="preserve">1). </w:t>
            </w:r>
            <w:r w:rsidR="00A042E2" w:rsidRPr="00A042E2">
              <w:t xml:space="preserve">Управление экономического развития администрации </w:t>
            </w:r>
            <w:proofErr w:type="spellStart"/>
            <w:r w:rsidR="00A042E2" w:rsidRPr="00A042E2">
              <w:t>Вятскополянского</w:t>
            </w:r>
            <w:proofErr w:type="spellEnd"/>
            <w:r w:rsidR="00A042E2" w:rsidRPr="00A042E2">
              <w:t xml:space="preserve"> района</w:t>
            </w:r>
            <w:r w:rsidR="004D4A52">
              <w:t>.</w:t>
            </w:r>
          </w:p>
          <w:p w:rsidR="00A042E2" w:rsidRPr="00A042E2" w:rsidRDefault="004D4A52" w:rsidP="00A042E2">
            <w:pPr>
              <w:pStyle w:val="ad"/>
              <w:spacing w:before="0" w:beforeAutospacing="0" w:after="0" w:afterAutospacing="0"/>
              <w:jc w:val="both"/>
            </w:pPr>
            <w:r>
              <w:t xml:space="preserve">2). </w:t>
            </w:r>
            <w:r w:rsidR="00A042E2" w:rsidRPr="00A042E2">
              <w:t xml:space="preserve">Управление земельно-имущественных отношений администрации </w:t>
            </w:r>
            <w:proofErr w:type="spellStart"/>
            <w:r w:rsidR="00A042E2" w:rsidRPr="00A042E2">
              <w:t>Вятскополянского</w:t>
            </w:r>
            <w:proofErr w:type="spellEnd"/>
            <w:r w:rsidR="00A042E2" w:rsidRPr="00A042E2">
              <w:t xml:space="preserve"> района</w:t>
            </w:r>
            <w:r>
              <w:t>.</w:t>
            </w:r>
          </w:p>
          <w:p w:rsidR="00F81B28" w:rsidRPr="008E63E2" w:rsidRDefault="00F81B28" w:rsidP="00346991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1.3.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4D4A52">
            <w:pPr>
              <w:pStyle w:val="ad"/>
              <w:spacing w:before="0" w:beforeAutospacing="0" w:after="0" w:afterAutospacing="0"/>
            </w:pPr>
            <w:r w:rsidRPr="008E63E2">
              <w:t>Краткое содержание проекта правового акта:</w:t>
            </w:r>
            <w:r w:rsidRPr="008E63E2">
              <w:br/>
            </w:r>
          </w:p>
          <w:p w:rsidR="00A042E2" w:rsidRPr="00A042E2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A042E2">
              <w:t>Проектом постановления утверждается Порядок предоставления  права на размещение нестационарного торгового объекта на территории муниципального образования Вятскополянский муниципальный район. Порядок устанавливает сроки и последовательность действий по предоставлению права на размещение нестационарного торгового объекта на территории муниципального образования Вятскополянский муниципальный район.</w:t>
            </w:r>
          </w:p>
          <w:p w:rsidR="00A042E2" w:rsidRPr="00A042E2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A042E2">
              <w:t>Порядок включает исполнение следующих процедур:</w:t>
            </w:r>
          </w:p>
          <w:p w:rsidR="00A042E2" w:rsidRPr="00A042E2" w:rsidRDefault="00A042E2" w:rsidP="00B57B70">
            <w:pPr>
              <w:pStyle w:val="ConsPlusNormal"/>
              <w:spacing w:line="276" w:lineRule="auto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2">
              <w:rPr>
                <w:rFonts w:ascii="Times New Roman" w:hAnsi="Times New Roman" w:cs="Times New Roman"/>
                <w:sz w:val="24"/>
                <w:szCs w:val="24"/>
              </w:rPr>
              <w:t>- предоставление преимущественного права на заключение договора на размещение нестационарного торгового объекта без проведения аукциона;</w:t>
            </w:r>
          </w:p>
          <w:p w:rsidR="00A042E2" w:rsidRPr="00A042E2" w:rsidRDefault="00A042E2" w:rsidP="00B57B70">
            <w:pPr>
              <w:pStyle w:val="ConsPlusNormal"/>
              <w:spacing w:line="276" w:lineRule="auto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2">
              <w:rPr>
                <w:rFonts w:ascii="Times New Roman" w:hAnsi="Times New Roman" w:cs="Times New Roman"/>
                <w:sz w:val="24"/>
                <w:szCs w:val="24"/>
              </w:rPr>
              <w:t>- предоставление права на</w:t>
            </w:r>
            <w:r w:rsidRPr="00A042E2">
              <w:rPr>
                <w:sz w:val="24"/>
                <w:szCs w:val="24"/>
              </w:rPr>
              <w:t xml:space="preserve"> </w:t>
            </w:r>
            <w:r w:rsidRPr="00A042E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право размещения нестационарного торгового объекта по итогам открытого аукциона;</w:t>
            </w:r>
          </w:p>
          <w:p w:rsidR="00A042E2" w:rsidRPr="00A042E2" w:rsidRDefault="00A042E2" w:rsidP="00B57B70">
            <w:pPr>
              <w:pStyle w:val="ConsPlusNormal"/>
              <w:spacing w:line="276" w:lineRule="auto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2">
              <w:rPr>
                <w:rFonts w:ascii="Times New Roman" w:hAnsi="Times New Roman" w:cs="Times New Roman"/>
                <w:sz w:val="24"/>
                <w:szCs w:val="24"/>
              </w:rPr>
              <w:t>- оформление Договора на право размещения нестационарного торгового объекта.</w:t>
            </w:r>
          </w:p>
          <w:p w:rsidR="00F81B28" w:rsidRPr="008E63E2" w:rsidRDefault="00F81B28" w:rsidP="00346991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1.4.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Контактная информация разработчика (исполнителя):</w:t>
            </w: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42E2" w:rsidRDefault="004D4A52" w:rsidP="00A042E2">
            <w:pPr>
              <w:pStyle w:val="ad"/>
              <w:spacing w:before="0" w:beforeAutospacing="0" w:after="0" w:afterAutospacing="0"/>
              <w:jc w:val="both"/>
            </w:pPr>
            <w:r>
              <w:t xml:space="preserve">1). </w:t>
            </w:r>
            <w:r w:rsidR="00A042E2" w:rsidRPr="00A042E2">
              <w:t xml:space="preserve">Ворончихина Ирина Николаевна, начальник управления экономического развития администрации </w:t>
            </w:r>
            <w:proofErr w:type="spellStart"/>
            <w:r w:rsidR="00A042E2" w:rsidRPr="00A042E2">
              <w:t>Вятскополянского</w:t>
            </w:r>
            <w:proofErr w:type="spellEnd"/>
            <w:r w:rsidR="00A042E2" w:rsidRPr="00A042E2">
              <w:t xml:space="preserve"> района, </w:t>
            </w: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A042E2">
              <w:t>тел: 8 (83334) 7-90-54,</w:t>
            </w:r>
          </w:p>
          <w:p w:rsidR="00A042E2" w:rsidRPr="00196CF9" w:rsidRDefault="006C44BA" w:rsidP="00A042E2">
            <w:pPr>
              <w:pStyle w:val="ad"/>
              <w:spacing w:before="0" w:beforeAutospacing="0" w:after="0" w:afterAutospacing="0"/>
              <w:jc w:val="both"/>
            </w:pPr>
            <w:hyperlink r:id="rId9" w:history="1">
              <w:r w:rsidR="00A042E2" w:rsidRPr="00A042E2">
                <w:rPr>
                  <w:rStyle w:val="ae"/>
                  <w:lang w:val="en-US"/>
                </w:rPr>
                <w:t>econ</w:t>
              </w:r>
              <w:r w:rsidR="00A042E2" w:rsidRPr="00A042E2">
                <w:rPr>
                  <w:rStyle w:val="ae"/>
                </w:rPr>
                <w:t>_</w:t>
              </w:r>
              <w:r w:rsidR="00A042E2" w:rsidRPr="00A042E2">
                <w:rPr>
                  <w:rStyle w:val="ae"/>
                  <w:lang w:val="en-US"/>
                </w:rPr>
                <w:t>vpr</w:t>
              </w:r>
              <w:r w:rsidR="00A042E2" w:rsidRPr="00A042E2">
                <w:rPr>
                  <w:rStyle w:val="ae"/>
                </w:rPr>
                <w:t>@</w:t>
              </w:r>
              <w:r w:rsidR="00A042E2" w:rsidRPr="00A042E2">
                <w:rPr>
                  <w:rStyle w:val="ae"/>
                  <w:lang w:val="en-US"/>
                </w:rPr>
                <w:t>mail</w:t>
              </w:r>
              <w:r w:rsidR="00A042E2" w:rsidRPr="00A042E2">
                <w:rPr>
                  <w:rStyle w:val="ae"/>
                </w:rPr>
                <w:t>.</w:t>
              </w:r>
              <w:proofErr w:type="spellStart"/>
              <w:r w:rsidR="00A042E2" w:rsidRPr="00A042E2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A042E2" w:rsidRDefault="004D4A52" w:rsidP="00A042E2">
            <w:pPr>
              <w:pStyle w:val="ad"/>
              <w:spacing w:before="0" w:beforeAutospacing="0" w:after="0" w:afterAutospacing="0"/>
              <w:jc w:val="both"/>
            </w:pPr>
            <w:r>
              <w:t xml:space="preserve">2). </w:t>
            </w:r>
            <w:proofErr w:type="spellStart"/>
            <w:r w:rsidR="00A042E2" w:rsidRPr="00A042E2">
              <w:t>Паюрова</w:t>
            </w:r>
            <w:proofErr w:type="spellEnd"/>
            <w:r w:rsidR="00A042E2" w:rsidRPr="00A042E2">
              <w:t xml:space="preserve"> Ольга Алексеевна, начальник управления земельно-имущественных отношений администрации </w:t>
            </w:r>
            <w:proofErr w:type="spellStart"/>
            <w:r w:rsidR="00A042E2" w:rsidRPr="00A042E2">
              <w:t>Вятскополянского</w:t>
            </w:r>
            <w:proofErr w:type="spellEnd"/>
            <w:r w:rsidR="00A042E2" w:rsidRPr="00A042E2">
              <w:t xml:space="preserve"> района, </w:t>
            </w:r>
          </w:p>
          <w:p w:rsidR="00A042E2" w:rsidRPr="00A042E2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тел: 8 (83334) 6-12-57, </w:t>
            </w:r>
          </w:p>
          <w:p w:rsidR="00A042E2" w:rsidRPr="00A042E2" w:rsidRDefault="006C44BA" w:rsidP="00A042E2">
            <w:pPr>
              <w:pStyle w:val="ad"/>
              <w:spacing w:before="0" w:beforeAutospacing="0" w:after="0" w:afterAutospacing="0"/>
              <w:jc w:val="both"/>
            </w:pPr>
            <w:hyperlink r:id="rId10" w:history="1">
              <w:r w:rsidR="00A042E2" w:rsidRPr="00A042E2">
                <w:rPr>
                  <w:rStyle w:val="ae"/>
                  <w:lang w:val="x-none"/>
                </w:rPr>
                <w:t>kumi-vp@mail.ru</w:t>
              </w:r>
            </w:hyperlink>
          </w:p>
          <w:p w:rsidR="00F81B28" w:rsidRPr="008E63E2" w:rsidRDefault="00F81B28" w:rsidP="00346991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46991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lastRenderedPageBreak/>
              <w:br/>
              <w:t>2. Степень регулирующего воздействия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Сте</w:t>
            </w:r>
            <w:r w:rsidR="00B57B70">
              <w:rPr>
                <w:sz w:val="24"/>
                <w:szCs w:val="24"/>
              </w:rPr>
              <w:t xml:space="preserve">пень регулирующего воздействия: </w:t>
            </w:r>
            <w:r w:rsidR="00A042E2">
              <w:rPr>
                <w:sz w:val="24"/>
                <w:szCs w:val="24"/>
              </w:rPr>
              <w:t>низкая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3869A5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3869A5" w:rsidRDefault="003869A5" w:rsidP="003869A5">
            <w:pPr>
              <w:jc w:val="both"/>
              <w:rPr>
                <w:sz w:val="24"/>
                <w:szCs w:val="24"/>
              </w:rPr>
            </w:pPr>
          </w:p>
          <w:p w:rsidR="00A042E2" w:rsidRPr="00A042E2" w:rsidRDefault="003869A5" w:rsidP="003869A5">
            <w:pPr>
              <w:ind w:firstLine="7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</w:t>
            </w:r>
            <w:r w:rsidR="00A042E2" w:rsidRPr="00A042E2">
              <w:rPr>
                <w:sz w:val="24"/>
                <w:szCs w:val="24"/>
              </w:rPr>
              <w:t>рименени</w:t>
            </w:r>
            <w:r>
              <w:rPr>
                <w:sz w:val="24"/>
                <w:szCs w:val="24"/>
              </w:rPr>
              <w:t>и</w:t>
            </w:r>
            <w:r w:rsidR="00A042E2" w:rsidRPr="00A042E2">
              <w:rPr>
                <w:sz w:val="24"/>
                <w:szCs w:val="24"/>
              </w:rPr>
              <w:t xml:space="preserve"> на практике Порядка предоставления права на размещение нестационарного торгового объекта на территории муниципального образования Вятскополянский муниципальный район </w:t>
            </w:r>
            <w:r w:rsidRPr="00A042E2">
              <w:rPr>
                <w:sz w:val="24"/>
                <w:szCs w:val="24"/>
              </w:rPr>
              <w:t>заключени</w:t>
            </w:r>
            <w:r>
              <w:rPr>
                <w:sz w:val="24"/>
                <w:szCs w:val="24"/>
              </w:rPr>
              <w:t>е</w:t>
            </w:r>
            <w:r w:rsidRPr="00A042E2">
              <w:rPr>
                <w:sz w:val="24"/>
                <w:szCs w:val="24"/>
              </w:rPr>
              <w:t xml:space="preserve"> договора на право размещения нестационарного торгового объекта</w:t>
            </w:r>
            <w:r>
              <w:rPr>
                <w:sz w:val="24"/>
                <w:szCs w:val="24"/>
              </w:rPr>
              <w:t xml:space="preserve"> на территории муниципального образования Вятскополянский муниципальный район</w:t>
            </w:r>
            <w:r w:rsidRPr="00A042E2">
              <w:rPr>
                <w:sz w:val="24"/>
                <w:szCs w:val="24"/>
              </w:rPr>
              <w:t xml:space="preserve"> </w:t>
            </w:r>
            <w:r w:rsidR="00A042E2" w:rsidRPr="00A042E2">
              <w:rPr>
                <w:sz w:val="24"/>
                <w:szCs w:val="24"/>
              </w:rPr>
              <w:t>возможно двумя способами:</w:t>
            </w:r>
          </w:p>
          <w:p w:rsidR="00A042E2" w:rsidRPr="00A042E2" w:rsidRDefault="00A042E2" w:rsidP="00B57B70">
            <w:pPr>
              <w:pStyle w:val="a9"/>
              <w:numPr>
                <w:ilvl w:val="0"/>
                <w:numId w:val="26"/>
              </w:numPr>
              <w:spacing w:line="276" w:lineRule="auto"/>
              <w:ind w:left="0" w:firstLine="741"/>
              <w:contextualSpacing/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>Посредством проведения аукциона на право заключения договора на размещения нестационарного торгового объекта и заключения договора на право размещения нестационарного торгового объекта.</w:t>
            </w:r>
          </w:p>
          <w:p w:rsidR="00A042E2" w:rsidRPr="00A042E2" w:rsidRDefault="00A042E2" w:rsidP="00B57B70">
            <w:pPr>
              <w:pStyle w:val="a9"/>
              <w:numPr>
                <w:ilvl w:val="0"/>
                <w:numId w:val="26"/>
              </w:numPr>
              <w:spacing w:line="276" w:lineRule="auto"/>
              <w:ind w:left="0" w:firstLine="741"/>
              <w:contextualSpacing/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 xml:space="preserve">Без проведения аукциона возможно с хозяйствующим субъектом, с которым у администрации </w:t>
            </w:r>
            <w:proofErr w:type="spellStart"/>
            <w:r w:rsidRPr="00A042E2">
              <w:rPr>
                <w:sz w:val="24"/>
                <w:szCs w:val="24"/>
              </w:rPr>
              <w:t>Вятскополянского</w:t>
            </w:r>
            <w:proofErr w:type="spellEnd"/>
            <w:r w:rsidRPr="00A042E2">
              <w:rPr>
                <w:sz w:val="24"/>
                <w:szCs w:val="24"/>
              </w:rPr>
              <w:t xml:space="preserve"> района был заключен договор аренды земельного участка под размещение нестационарного торгового объекта при наличии в совокупности следующих условий:</w:t>
            </w:r>
          </w:p>
          <w:p w:rsidR="00A042E2" w:rsidRPr="00A042E2" w:rsidRDefault="00A042E2" w:rsidP="00B57B70">
            <w:pPr>
              <w:pStyle w:val="a9"/>
              <w:numPr>
                <w:ilvl w:val="0"/>
                <w:numId w:val="27"/>
              </w:numPr>
              <w:autoSpaceDE w:val="0"/>
              <w:spacing w:line="276" w:lineRule="auto"/>
              <w:ind w:left="0" w:firstLine="741"/>
              <w:contextualSpacing/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>Хозяйствующим субъектом соблюдаются одновременно следующие условия:</w:t>
            </w:r>
          </w:p>
          <w:p w:rsidR="00A042E2" w:rsidRPr="00A042E2" w:rsidRDefault="00A042E2" w:rsidP="00B57B70">
            <w:pPr>
              <w:pStyle w:val="a9"/>
              <w:autoSpaceDE w:val="0"/>
              <w:ind w:left="0" w:firstLine="741"/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>- осуществление торговой деятельности в соответствии с требованиями Правил благоустройства муниципального образования, на территории которого установлен нестационарный торговый объект, и требованиями законодательства;</w:t>
            </w:r>
          </w:p>
          <w:p w:rsidR="00A042E2" w:rsidRPr="00A042E2" w:rsidRDefault="00A042E2" w:rsidP="00B57B70">
            <w:pPr>
              <w:pStyle w:val="a9"/>
              <w:autoSpaceDE w:val="0"/>
              <w:ind w:left="0" w:firstLine="741"/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>- отсутствие задолженности по арендной плате, возникшей в период действия договора аренды земельного участка;</w:t>
            </w:r>
          </w:p>
          <w:p w:rsidR="00A042E2" w:rsidRPr="00A042E2" w:rsidRDefault="00A042E2" w:rsidP="00B57B70">
            <w:pPr>
              <w:pStyle w:val="a9"/>
              <w:autoSpaceDE w:val="0"/>
              <w:ind w:left="0" w:firstLine="741"/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 xml:space="preserve">- осуществление торговой деятельности в соответствии со специализацией, указанной в схеме размещения нестационарных торговых объектов на территории муниципального образования Вятскополянский район, утвержденной постановлением администрации </w:t>
            </w:r>
            <w:proofErr w:type="spellStart"/>
            <w:r w:rsidRPr="00A042E2">
              <w:rPr>
                <w:sz w:val="24"/>
                <w:szCs w:val="24"/>
              </w:rPr>
              <w:t>Вятскополянского</w:t>
            </w:r>
            <w:proofErr w:type="spellEnd"/>
            <w:r w:rsidRPr="00A042E2">
              <w:rPr>
                <w:sz w:val="24"/>
                <w:szCs w:val="24"/>
              </w:rPr>
              <w:t xml:space="preserve"> района.</w:t>
            </w:r>
          </w:p>
          <w:p w:rsidR="00A042E2" w:rsidRPr="00A042E2" w:rsidRDefault="00A042E2" w:rsidP="00B57B70">
            <w:pPr>
              <w:pStyle w:val="a9"/>
              <w:numPr>
                <w:ilvl w:val="0"/>
                <w:numId w:val="27"/>
              </w:numPr>
              <w:autoSpaceDE w:val="0"/>
              <w:spacing w:line="276" w:lineRule="auto"/>
              <w:ind w:left="0" w:firstLine="741"/>
              <w:contextualSpacing/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 xml:space="preserve">Место размещения нестационарного торгового объекта включено в схему размещения нестационарных торговых объектов на территории муниципального образования Вятскополянский район, утвержденную постановлением администрации </w:t>
            </w:r>
            <w:proofErr w:type="spellStart"/>
            <w:r w:rsidRPr="00A042E2">
              <w:rPr>
                <w:sz w:val="24"/>
                <w:szCs w:val="24"/>
              </w:rPr>
              <w:t>Вятскополянского</w:t>
            </w:r>
            <w:proofErr w:type="spellEnd"/>
            <w:r w:rsidRPr="00A042E2">
              <w:rPr>
                <w:sz w:val="24"/>
                <w:szCs w:val="24"/>
              </w:rPr>
              <w:t xml:space="preserve"> района.</w:t>
            </w:r>
          </w:p>
          <w:p w:rsidR="00F81B28" w:rsidRPr="008E63E2" w:rsidRDefault="00A042E2" w:rsidP="00B57B70">
            <w:pPr>
              <w:ind w:firstLine="741"/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 xml:space="preserve">Учитывая вышеизложенное, можно сделать вывод, что проект постановления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</w:t>
            </w:r>
            <w:r w:rsidRPr="00A042E2">
              <w:rPr>
                <w:sz w:val="24"/>
                <w:szCs w:val="24"/>
              </w:rPr>
              <w:lastRenderedPageBreak/>
              <w:t>приводящих к возникновению необоснованных расходов субъектов предпринимательской деятельности.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46991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lastRenderedPageBreak/>
              <w:br/>
              <w:t>3. Описание проблемы, на решение которой направлена разработка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3.1.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4D4A52">
            <w:pPr>
              <w:pStyle w:val="a9"/>
              <w:ind w:left="0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Формулировка проблемы:</w:t>
            </w:r>
          </w:p>
          <w:p w:rsidR="00A042E2" w:rsidRPr="00A042E2" w:rsidRDefault="00F81B28" w:rsidP="00427DE3">
            <w:pPr>
              <w:pStyle w:val="a9"/>
              <w:ind w:left="0" w:firstLine="85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</w:r>
            <w:r w:rsidR="00A042E2">
              <w:rPr>
                <w:sz w:val="24"/>
                <w:szCs w:val="24"/>
              </w:rPr>
              <w:t>Н</w:t>
            </w:r>
            <w:r w:rsidR="00A042E2" w:rsidRPr="00A042E2">
              <w:rPr>
                <w:sz w:val="24"/>
                <w:szCs w:val="24"/>
              </w:rPr>
              <w:t>е урегулирован порядок предоставления мест из схемы размеще</w:t>
            </w:r>
            <w:r w:rsidR="004D4A52">
              <w:rPr>
                <w:sz w:val="24"/>
                <w:szCs w:val="24"/>
              </w:rPr>
              <w:t xml:space="preserve">ния </w:t>
            </w:r>
            <w:r w:rsidR="00A042E2" w:rsidRPr="00A042E2">
              <w:rPr>
                <w:sz w:val="24"/>
                <w:szCs w:val="24"/>
              </w:rPr>
              <w:t xml:space="preserve">нестационарных торговых объектов </w:t>
            </w:r>
            <w:r w:rsidR="003869A5" w:rsidRPr="00A042E2">
              <w:rPr>
                <w:sz w:val="24"/>
                <w:szCs w:val="24"/>
              </w:rPr>
              <w:t>на территории муниципального обр</w:t>
            </w:r>
            <w:r w:rsidR="003869A5">
              <w:rPr>
                <w:sz w:val="24"/>
                <w:szCs w:val="24"/>
              </w:rPr>
              <w:t xml:space="preserve">азования Вятскополянский муниципальный район </w:t>
            </w:r>
            <w:r w:rsidR="00A042E2" w:rsidRPr="00A042E2">
              <w:rPr>
                <w:sz w:val="24"/>
                <w:szCs w:val="24"/>
              </w:rPr>
              <w:t>хозяйствующим субъектам.</w:t>
            </w:r>
          </w:p>
          <w:p w:rsidR="00020514" w:rsidRDefault="00020514" w:rsidP="00427DE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F81B28" w:rsidRPr="003869A5" w:rsidRDefault="00020514" w:rsidP="00427DE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</w:t>
            </w:r>
            <w:r w:rsidRPr="00020514">
              <w:rPr>
                <w:rFonts w:ascii="yandex-sans" w:hAnsi="yandex-sans"/>
                <w:color w:val="000000"/>
                <w:sz w:val="23"/>
                <w:szCs w:val="23"/>
              </w:rPr>
              <w:t xml:space="preserve">тверждение </w:t>
            </w:r>
            <w:r w:rsidRPr="00A042E2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A042E2">
              <w:rPr>
                <w:sz w:val="24"/>
                <w:szCs w:val="24"/>
              </w:rPr>
              <w:t xml:space="preserve"> порядка предоставления права на размещение нестационарного торгового объекта на территории муниципального образования Вятскополянский муниципальный район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20514">
              <w:rPr>
                <w:rFonts w:ascii="yandex-sans" w:hAnsi="yandex-sans"/>
                <w:color w:val="000000"/>
                <w:sz w:val="23"/>
                <w:szCs w:val="23"/>
              </w:rPr>
              <w:t>предоставит возможность размещать нестационарные торговые объекты на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20514">
              <w:rPr>
                <w:rFonts w:ascii="yandex-sans" w:hAnsi="yandex-sans"/>
                <w:color w:val="000000"/>
                <w:sz w:val="23"/>
                <w:szCs w:val="23"/>
              </w:rPr>
              <w:t xml:space="preserve">территории </w:t>
            </w:r>
            <w:r w:rsidR="00427DE3">
              <w:rPr>
                <w:rFonts w:ascii="yandex-sans" w:hAnsi="yandex-sans"/>
                <w:color w:val="000000"/>
                <w:sz w:val="23"/>
                <w:szCs w:val="23"/>
              </w:rPr>
              <w:t>муниципального образования Вятскополянский муниципальный район</w:t>
            </w:r>
            <w:r w:rsidRPr="00020514">
              <w:rPr>
                <w:rFonts w:ascii="yandex-sans" w:hAnsi="yandex-sans"/>
                <w:color w:val="000000"/>
                <w:sz w:val="23"/>
                <w:szCs w:val="23"/>
              </w:rPr>
              <w:t xml:space="preserve"> согласно схеме размещения</w:t>
            </w:r>
            <w:r w:rsid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нестационарных торговых объектов</w:t>
            </w:r>
            <w:r w:rsidRPr="00020514">
              <w:rPr>
                <w:rFonts w:ascii="yandex-sans" w:hAnsi="yandex-sans"/>
                <w:color w:val="000000"/>
                <w:sz w:val="23"/>
                <w:szCs w:val="23"/>
              </w:rPr>
              <w:t>, что</w:t>
            </w:r>
            <w:r w:rsid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предотвратит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20514">
              <w:rPr>
                <w:rFonts w:ascii="yandex-sans" w:hAnsi="yandex-sans"/>
                <w:color w:val="000000"/>
                <w:sz w:val="23"/>
                <w:szCs w:val="23"/>
              </w:rPr>
              <w:t>несанкционированную</w:t>
            </w:r>
            <w:r w:rsid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20514">
              <w:rPr>
                <w:rFonts w:ascii="yandex-sans" w:hAnsi="yandex-sans"/>
                <w:color w:val="000000"/>
                <w:sz w:val="23"/>
                <w:szCs w:val="23"/>
              </w:rPr>
              <w:t>установку</w:t>
            </w:r>
            <w:r w:rsid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20514">
              <w:rPr>
                <w:rFonts w:ascii="yandex-sans" w:hAnsi="yandex-sans"/>
                <w:color w:val="000000"/>
                <w:sz w:val="23"/>
                <w:szCs w:val="23"/>
              </w:rPr>
              <w:t>нестационарных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20514">
              <w:rPr>
                <w:rFonts w:ascii="yandex-sans" w:hAnsi="yandex-sans"/>
                <w:color w:val="000000"/>
                <w:sz w:val="23"/>
                <w:szCs w:val="23"/>
              </w:rPr>
              <w:t>торговых объектов</w:t>
            </w:r>
            <w:r w:rsidR="00427DE3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196CF9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96CF9">
              <w:rPr>
                <w:sz w:val="24"/>
                <w:szCs w:val="24"/>
              </w:rPr>
              <w:t>3.2.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1068" w:rsidRPr="00196CF9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196CF9">
              <w:rPr>
                <w:sz w:val="24"/>
                <w:szCs w:val="24"/>
              </w:rPr>
              <w:t>Описание негативных эффектов, возникающ</w:t>
            </w:r>
            <w:r w:rsidR="00DE1068" w:rsidRPr="00196CF9">
              <w:rPr>
                <w:sz w:val="24"/>
                <w:szCs w:val="24"/>
              </w:rPr>
              <w:t>их в связи с наличием проблемы:</w:t>
            </w:r>
          </w:p>
          <w:p w:rsidR="00F81B28" w:rsidRPr="00DE1068" w:rsidRDefault="00DE106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196CF9">
              <w:rPr>
                <w:sz w:val="24"/>
                <w:szCs w:val="24"/>
              </w:rPr>
              <w:t>Нарушение требований законодательства при размещении нестационарных торговых объектов.</w:t>
            </w:r>
          </w:p>
          <w:p w:rsidR="00020514" w:rsidRPr="00020514" w:rsidRDefault="00020514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46991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4. Описание цели разработки проекта правового акта</w:t>
            </w:r>
            <w:r w:rsidRPr="00254025">
              <w:rPr>
                <w:szCs w:val="28"/>
              </w:rPr>
              <w:br/>
            </w:r>
          </w:p>
          <w:p w:rsidR="00A042E2" w:rsidRPr="00A042E2" w:rsidRDefault="00A042E2" w:rsidP="00B57B70">
            <w:pPr>
              <w:pStyle w:val="ConsPlusTitle"/>
              <w:spacing w:line="276" w:lineRule="auto"/>
              <w:ind w:firstLine="7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порядка предоставления права на размещение нестационарного торгового объекта на территории муниципального образования Вятскополянский муниципальный район разработан в целях:</w:t>
            </w:r>
          </w:p>
          <w:p w:rsidR="00A042E2" w:rsidRPr="00A042E2" w:rsidRDefault="00A042E2" w:rsidP="00B57B70">
            <w:pPr>
              <w:ind w:firstLine="717"/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>- установления единого подхода к размещению и</w:t>
            </w:r>
            <w:r w:rsidRPr="00A042E2">
              <w:rPr>
                <w:sz w:val="24"/>
                <w:szCs w:val="24"/>
                <w:shd w:val="clear" w:color="auto" w:fill="FFFFFF"/>
              </w:rPr>
              <w:t xml:space="preserve"> обеспечению дальнейшей эксплуатации нестационарных торговых объектов на территории муниципального образования Вятскополянский муниципальный район;</w:t>
            </w:r>
          </w:p>
          <w:p w:rsidR="00A042E2" w:rsidRDefault="00A042E2" w:rsidP="00B57B70">
            <w:pPr>
              <w:ind w:firstLine="717"/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>- создания условий для улучшения организации торгового обслуживания населения на территории муниципального образования Вятскополянский муниципальный район.</w:t>
            </w:r>
          </w:p>
          <w:p w:rsidR="00F81B28" w:rsidRPr="00A042E2" w:rsidRDefault="00F81B28" w:rsidP="00A042E2">
            <w:pPr>
              <w:ind w:firstLine="851"/>
              <w:jc w:val="both"/>
              <w:rPr>
                <w:sz w:val="24"/>
                <w:szCs w:val="24"/>
              </w:rPr>
            </w:pPr>
            <w:r w:rsidRPr="00254025">
              <w:rPr>
                <w:szCs w:val="28"/>
              </w:rPr>
              <w:br/>
              <w:t>5. Перечень действующих нормативных правовых актов Российской Федерации, Кировской области, муниципальных правовых актов, поручений, решений, послуживших основанием для разработки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8E63E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E63E2">
              <w:rPr>
                <w:b/>
                <w:bCs/>
                <w:sz w:val="24"/>
                <w:szCs w:val="24"/>
              </w:rPr>
              <w:t>/п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>Наименование и реквизиты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A042E2" w:rsidRDefault="00A042E2" w:rsidP="00A04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Гражданский</w:t>
            </w:r>
            <w:r w:rsidRPr="00A042E2">
              <w:rPr>
                <w:sz w:val="24"/>
                <w:szCs w:val="24"/>
              </w:rPr>
              <w:t xml:space="preserve"> кодекс Российской Федерации</w:t>
            </w: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A042E2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A042E2" w:rsidP="00A042E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 от 06 октября 2003 года № 131-ФЗ «Об общих принципах организации местного самоупр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авления в Российской Федерации»</w:t>
            </w:r>
            <w:r w:rsidR="003869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042E2" w:rsidRPr="00A042E2" w:rsidRDefault="00A042E2" w:rsidP="00A042E2">
            <w:pPr>
              <w:jc w:val="both"/>
              <w:rPr>
                <w:sz w:val="24"/>
                <w:szCs w:val="24"/>
              </w:rPr>
            </w:pP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A042E2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A042E2" w:rsidP="00A042E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 от 26.07.2006 №</w:t>
            </w:r>
            <w:r w:rsidR="00F37D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135-ФЗ «О защите конкуренции»</w:t>
            </w:r>
            <w:r w:rsidR="003869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042E2" w:rsidRPr="00A042E2" w:rsidRDefault="00A042E2" w:rsidP="00A042E2">
            <w:pPr>
              <w:jc w:val="both"/>
              <w:rPr>
                <w:sz w:val="24"/>
                <w:szCs w:val="24"/>
              </w:rPr>
            </w:pP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A042E2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3A6DE7" w:rsidRDefault="00F37D51" w:rsidP="003A6DE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="00A042E2"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 от 28 декабря 2009 года № 381-ФЗ «Об основах государственного регулирования торговой деятельности в Российской Федерации»</w:t>
            </w:r>
            <w:r w:rsidR="003869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A042E2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A042E2" w:rsidP="00F37D51">
            <w:pPr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>Поряд</w:t>
            </w:r>
            <w:r w:rsidR="00F37D51">
              <w:rPr>
                <w:sz w:val="24"/>
                <w:szCs w:val="24"/>
              </w:rPr>
              <w:t>о</w:t>
            </w:r>
            <w:r w:rsidRPr="00A042E2">
              <w:rPr>
                <w:sz w:val="24"/>
                <w:szCs w:val="24"/>
              </w:rPr>
              <w:t>к разработки и утверждения  органами местного самоуправления Кировской области схемы размещения нестационарных</w:t>
            </w:r>
            <w:r w:rsidR="00F37D51">
              <w:rPr>
                <w:sz w:val="24"/>
                <w:szCs w:val="24"/>
              </w:rPr>
              <w:t xml:space="preserve"> торговых объектов, утвержденный</w:t>
            </w:r>
            <w:r w:rsidRPr="00A042E2">
              <w:rPr>
                <w:sz w:val="24"/>
                <w:szCs w:val="24"/>
              </w:rPr>
              <w:t xml:space="preserve"> Приказом министерства экономического развития и поддержки предпринимательства Кировской области от 20.09.2019 № 117</w:t>
            </w:r>
            <w:r w:rsidR="003869A5">
              <w:rPr>
                <w:sz w:val="24"/>
                <w:szCs w:val="24"/>
              </w:rPr>
              <w:t>.</w:t>
            </w: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A042E2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F37D51" w:rsidP="00A04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</w:t>
            </w:r>
            <w:r w:rsidR="00A042E2" w:rsidRPr="00A042E2">
              <w:rPr>
                <w:sz w:val="24"/>
                <w:szCs w:val="24"/>
              </w:rPr>
              <w:t xml:space="preserve"> размещения нестационарных торговых объектов на территории муниципального образования Вятскополянский </w:t>
            </w:r>
            <w:r w:rsidR="003869A5">
              <w:rPr>
                <w:sz w:val="24"/>
                <w:szCs w:val="24"/>
              </w:rPr>
              <w:t xml:space="preserve">муниципальный </w:t>
            </w:r>
            <w:r w:rsidR="00A042E2" w:rsidRPr="00A042E2">
              <w:rPr>
                <w:sz w:val="24"/>
                <w:szCs w:val="24"/>
              </w:rPr>
              <w:t>район, утвержденн</w:t>
            </w:r>
            <w:r w:rsidR="003A6DE7">
              <w:rPr>
                <w:sz w:val="24"/>
                <w:szCs w:val="24"/>
              </w:rPr>
              <w:t>ая</w:t>
            </w:r>
            <w:r w:rsidR="00A042E2" w:rsidRPr="00A042E2">
              <w:rPr>
                <w:sz w:val="24"/>
                <w:szCs w:val="24"/>
              </w:rPr>
              <w:t xml:space="preserve"> постановлением администрации </w:t>
            </w:r>
            <w:proofErr w:type="spellStart"/>
            <w:r w:rsidR="00A042E2" w:rsidRPr="00A042E2">
              <w:rPr>
                <w:sz w:val="24"/>
                <w:szCs w:val="24"/>
              </w:rPr>
              <w:t>Вятскополянского</w:t>
            </w:r>
            <w:proofErr w:type="spellEnd"/>
            <w:r w:rsidR="00A042E2" w:rsidRPr="00A042E2">
              <w:rPr>
                <w:sz w:val="24"/>
                <w:szCs w:val="24"/>
              </w:rPr>
              <w:t xml:space="preserve"> района от 16.05.2016 № 400</w:t>
            </w:r>
            <w:r w:rsidR="003869A5">
              <w:rPr>
                <w:sz w:val="24"/>
                <w:szCs w:val="24"/>
              </w:rPr>
              <w:t>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46991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hanging="149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Группа субъектов</w:t>
            </w: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количества субъектов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hanging="147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Источники данных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7DE3" w:rsidRPr="00427DE3" w:rsidRDefault="00DE1068" w:rsidP="00427DE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>ндивидуальны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предпринимате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ли и юридические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лиц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а, осуществляющие или планирующие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осуществлять</w:t>
            </w:r>
          </w:p>
          <w:p w:rsidR="00427DE3" w:rsidRPr="00427DE3" w:rsidRDefault="00427DE3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деятельность в сфере розничной торговли на территории </w:t>
            </w:r>
            <w:proofErr w:type="spellStart"/>
            <w:r w:rsidR="00DE1068">
              <w:rPr>
                <w:rFonts w:ascii="yandex-sans" w:hAnsi="yandex-sans"/>
                <w:color w:val="000000"/>
                <w:sz w:val="23"/>
                <w:szCs w:val="23"/>
              </w:rPr>
              <w:t>Вятскополянского</w:t>
            </w:r>
            <w:proofErr w:type="spellEnd"/>
            <w:r w:rsidR="00DE1068">
              <w:rPr>
                <w:rFonts w:ascii="yandex-sans" w:hAnsi="yandex-sans"/>
                <w:color w:val="000000"/>
                <w:sz w:val="23"/>
                <w:szCs w:val="23"/>
              </w:rPr>
              <w:t xml:space="preserve"> муниципального района</w:t>
            </w:r>
          </w:p>
          <w:p w:rsidR="00F81B28" w:rsidRPr="008E63E2" w:rsidRDefault="00F81B28" w:rsidP="00F37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F37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 муниципального образования Вятскополянский муниципальный район Кировской области на 2020 – 2022 годы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46991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 xml:space="preserve">7. Новые функции, полномочия, обязанности и права органов местного самоуправления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 или сведения об их изменении, а также порядок их реализации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3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Порядок реализации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D51" w:rsidRPr="00F37D51" w:rsidRDefault="00F37D51" w:rsidP="00F37D5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F37D51">
              <w:rPr>
                <w:sz w:val="24"/>
                <w:szCs w:val="24"/>
              </w:rPr>
              <w:t xml:space="preserve">Изменение полномочий, обязанностей и прав администрации </w:t>
            </w:r>
            <w:proofErr w:type="spellStart"/>
            <w:r w:rsidRPr="00F37D51">
              <w:rPr>
                <w:sz w:val="24"/>
                <w:szCs w:val="24"/>
              </w:rPr>
              <w:t>Вятскополянского</w:t>
            </w:r>
            <w:proofErr w:type="spellEnd"/>
            <w:r w:rsidRPr="00F37D51">
              <w:rPr>
                <w:sz w:val="24"/>
                <w:szCs w:val="24"/>
              </w:rPr>
              <w:t xml:space="preserve"> района в отношениях с субъектами предпринимательской деятельности  проектом постановления администрации </w:t>
            </w:r>
            <w:proofErr w:type="spellStart"/>
            <w:r w:rsidRPr="00F37D51">
              <w:rPr>
                <w:sz w:val="24"/>
                <w:szCs w:val="24"/>
              </w:rPr>
              <w:t>Вятскополянского</w:t>
            </w:r>
            <w:proofErr w:type="spellEnd"/>
            <w:r w:rsidRPr="00F37D51">
              <w:rPr>
                <w:sz w:val="24"/>
                <w:szCs w:val="24"/>
              </w:rPr>
              <w:t xml:space="preserve"> района «Об утверждении Порядка предоставления права на размещение нестационарного торгового объекта на территории муниципального образования Вятскополянский муниципальный район» не предусмотрено.</w:t>
            </w:r>
          </w:p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46991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lastRenderedPageBreak/>
              <w:br/>
              <w:t xml:space="preserve">8. Оценка дополнительных расходов (доходов) бюджета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Наименование новой или изменяемой функции, полномочия, обязанности или права (указываются данные</w:t>
            </w:r>
            <w:r w:rsidRPr="008E63E2">
              <w:rPr>
                <w:sz w:val="24"/>
                <w:szCs w:val="24"/>
              </w:rPr>
              <w:br/>
              <w:t>из раздела 7)</w:t>
            </w: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119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расходов (доходов) бюджета </w:t>
            </w:r>
            <w:proofErr w:type="spellStart"/>
            <w:r w:rsidR="00F10E19">
              <w:rPr>
                <w:sz w:val="24"/>
                <w:szCs w:val="24"/>
              </w:rPr>
              <w:t>Вятскополянского</w:t>
            </w:r>
            <w:proofErr w:type="spellEnd"/>
            <w:r w:rsidR="00F10E1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Оценка расходов (доходов) бюджета </w:t>
            </w:r>
            <w:proofErr w:type="spellStart"/>
            <w:r w:rsidR="00D26166">
              <w:rPr>
                <w:sz w:val="24"/>
                <w:szCs w:val="24"/>
              </w:rPr>
              <w:t>Вятскополянского</w:t>
            </w:r>
            <w:proofErr w:type="spellEnd"/>
            <w:r w:rsidR="00D26166">
              <w:rPr>
                <w:sz w:val="24"/>
                <w:szCs w:val="24"/>
              </w:rPr>
              <w:t xml:space="preserve"> района</w:t>
            </w:r>
            <w:r w:rsidRPr="008E63E2">
              <w:rPr>
                <w:sz w:val="24"/>
                <w:szCs w:val="24"/>
              </w:rPr>
              <w:br/>
              <w:t>(тыс. руб.), в том числе периодичность осуществления расходов (поступления доходов)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69A5">
              <w:rPr>
                <w:sz w:val="24"/>
                <w:szCs w:val="24"/>
              </w:rPr>
              <w:t>------</w:t>
            </w:r>
          </w:p>
          <w:p w:rsidR="003869A5" w:rsidRPr="008E63E2" w:rsidRDefault="003869A5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0FC6" w:rsidRDefault="00270FC6" w:rsidP="00270FC6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  <w:r w:rsidRPr="00270FC6">
              <w:rPr>
                <w:sz w:val="24"/>
                <w:szCs w:val="24"/>
              </w:rPr>
              <w:t xml:space="preserve">Принятие проекта постановления администрации </w:t>
            </w:r>
            <w:proofErr w:type="spellStart"/>
            <w:r w:rsidRPr="00270FC6">
              <w:rPr>
                <w:sz w:val="24"/>
                <w:szCs w:val="24"/>
              </w:rPr>
              <w:t>Вятскополянского</w:t>
            </w:r>
            <w:proofErr w:type="spellEnd"/>
            <w:r w:rsidRPr="00270FC6">
              <w:rPr>
                <w:sz w:val="24"/>
                <w:szCs w:val="24"/>
              </w:rPr>
              <w:t xml:space="preserve"> района «Об утверждении Порядка предоставления права на размещение нестационарного торгового объекта на территории муниципального образования Вятскополянский муниципальный район» не повлечет дополнительных расходов бюджета муниципального образования Вятскополянский муниципальный район.</w:t>
            </w:r>
          </w:p>
          <w:p w:rsidR="00DE1068" w:rsidRDefault="00DE1068" w:rsidP="00270FC6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</w:p>
          <w:p w:rsidR="00DE1068" w:rsidRDefault="00270FC6" w:rsidP="00DE1068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  <w:r w:rsidRPr="00270FC6">
              <w:rPr>
                <w:sz w:val="24"/>
                <w:szCs w:val="24"/>
              </w:rPr>
              <w:t xml:space="preserve">Денежные средства от размещения нестационарных торговых объектов на территории муниципального образования Вятскополянский муниципальный район являются доходами </w:t>
            </w:r>
            <w:r w:rsidR="00DE1068" w:rsidRPr="00270FC6">
              <w:rPr>
                <w:sz w:val="24"/>
                <w:szCs w:val="24"/>
              </w:rPr>
              <w:t>бюджета муниципального образования Вятскополянский муниципальный район.</w:t>
            </w:r>
          </w:p>
          <w:p w:rsidR="00F81B28" w:rsidRPr="00270FC6" w:rsidRDefault="00F81B28" w:rsidP="00270FC6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3A6DE7" w:rsidP="00270FC6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право размещения нестационарных торговых объектов будет поступать в бюджет муниципального образования Вятскополянский муниципальный район 1 раз в год</w:t>
            </w:r>
            <w:r w:rsidR="00B57B70">
              <w:rPr>
                <w:sz w:val="24"/>
                <w:szCs w:val="24"/>
              </w:rPr>
              <w:t>:</w:t>
            </w:r>
          </w:p>
          <w:p w:rsidR="00B57B70" w:rsidRPr="00B57B70" w:rsidRDefault="00B57B70" w:rsidP="00B57B70">
            <w:pPr>
              <w:autoSpaceDE w:val="0"/>
              <w:jc w:val="both"/>
              <w:rPr>
                <w:sz w:val="24"/>
                <w:szCs w:val="24"/>
              </w:rPr>
            </w:pPr>
            <w:r w:rsidRPr="00B57B70">
              <w:rPr>
                <w:sz w:val="24"/>
                <w:szCs w:val="24"/>
              </w:rPr>
              <w:t xml:space="preserve">- за первый календарный год в течение 5 рабочих дней со дня получения уведомления от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Вятскополянского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B57B70">
              <w:rPr>
                <w:sz w:val="24"/>
                <w:szCs w:val="24"/>
              </w:rPr>
              <w:t xml:space="preserve"> на право заключения  договора  на размещения нестационарного  торгового объекта на территории муниципального образования Вятскополянский муниципальный район.</w:t>
            </w:r>
          </w:p>
          <w:p w:rsidR="00B57B70" w:rsidRPr="00B57B70" w:rsidRDefault="00B57B70" w:rsidP="00B57B70">
            <w:pPr>
              <w:jc w:val="both"/>
              <w:rPr>
                <w:sz w:val="24"/>
                <w:szCs w:val="24"/>
              </w:rPr>
            </w:pPr>
            <w:r w:rsidRPr="00B57B70">
              <w:rPr>
                <w:sz w:val="24"/>
                <w:szCs w:val="24"/>
              </w:rPr>
              <w:t>- за второй и последующий годы в срок не позднее 15 марта текущего года.</w:t>
            </w:r>
          </w:p>
          <w:p w:rsidR="00B57B70" w:rsidRDefault="00B57B70" w:rsidP="00270FC6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  <w:p w:rsidR="00B57B70" w:rsidRPr="00B57B70" w:rsidRDefault="00B57B70" w:rsidP="00B57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0">
              <w:rPr>
                <w:rFonts w:ascii="Times New Roman" w:hAnsi="Times New Roman" w:cs="Times New Roman"/>
                <w:sz w:val="24"/>
                <w:szCs w:val="24"/>
              </w:rPr>
              <w:t>Плата за право размещения нестационарного торгового объекта устанавливается в размере:</w:t>
            </w:r>
          </w:p>
          <w:p w:rsidR="00B57B70" w:rsidRPr="00B57B70" w:rsidRDefault="00B57B70" w:rsidP="00B57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8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57B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цены, определенной в соответствии с </w:t>
            </w:r>
            <w:hyperlink w:anchor="P1908" w:history="1">
              <w:r w:rsidRPr="00B57B70">
                <w:rPr>
                  <w:rFonts w:ascii="Times New Roman" w:hAnsi="Times New Roman" w:cs="Times New Roman"/>
                  <w:sz w:val="24"/>
                  <w:szCs w:val="24"/>
                </w:rPr>
                <w:t>Методикой</w:t>
              </w:r>
            </w:hyperlink>
            <w:r w:rsidRPr="00B57B7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начальной цены на право </w:t>
            </w:r>
            <w:r w:rsidRPr="00B5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нестационарных торговых объектов на территории муниципального образования Вятскополянский муниципальный район, утвержденной постановлением администрации </w:t>
            </w:r>
            <w:proofErr w:type="spellStart"/>
            <w:r w:rsidRPr="00B57B70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B57B7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случаях:</w:t>
            </w:r>
          </w:p>
          <w:p w:rsidR="00B57B70" w:rsidRPr="00B57B70" w:rsidRDefault="00B57B70" w:rsidP="00B57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0">
              <w:rPr>
                <w:rFonts w:ascii="Times New Roman" w:hAnsi="Times New Roman" w:cs="Times New Roman"/>
                <w:sz w:val="24"/>
                <w:szCs w:val="24"/>
              </w:rPr>
              <w:t>- заключения Договора без проведения аукциона в порядке реализации преимущественного права;</w:t>
            </w:r>
          </w:p>
          <w:p w:rsidR="00B57B70" w:rsidRPr="00B57B70" w:rsidRDefault="00B57B70" w:rsidP="00B57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0">
              <w:rPr>
                <w:rFonts w:ascii="Times New Roman" w:hAnsi="Times New Roman" w:cs="Times New Roman"/>
                <w:sz w:val="24"/>
                <w:szCs w:val="24"/>
              </w:rPr>
              <w:t xml:space="preserve">- признания торгов </w:t>
            </w:r>
            <w:proofErr w:type="gramStart"/>
            <w:r w:rsidRPr="00B57B70">
              <w:rPr>
                <w:rFonts w:ascii="Times New Roman" w:hAnsi="Times New Roman" w:cs="Times New Roman"/>
                <w:sz w:val="24"/>
                <w:szCs w:val="24"/>
              </w:rPr>
              <w:t>несостоявшимися</w:t>
            </w:r>
            <w:proofErr w:type="gramEnd"/>
            <w:r w:rsidRPr="00B57B70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заключения Договора с лицом, подавшим единственную заявку на участие в аукционе, с единственным участником аукциона, с лицом, единственно участвовавшим в аукционе.</w:t>
            </w:r>
          </w:p>
          <w:p w:rsidR="00B57B70" w:rsidRPr="00B57B70" w:rsidRDefault="00B57B70" w:rsidP="00B57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83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B57B70">
              <w:rPr>
                <w:rFonts w:ascii="Times New Roman" w:hAnsi="Times New Roman" w:cs="Times New Roman"/>
                <w:sz w:val="24"/>
                <w:szCs w:val="24"/>
              </w:rPr>
              <w:t>Итоговой цены по результатам аукциона, за которую Хозяйствующий субъект приобрел право на заключение Договора на размещение нестационарного торгового объекта.</w:t>
            </w:r>
          </w:p>
          <w:p w:rsidR="00B57B70" w:rsidRPr="008E63E2" w:rsidRDefault="00B57B70" w:rsidP="00270FC6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46991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lastRenderedPageBreak/>
              <w:br/>
            </w:r>
            <w:r w:rsidRPr="00254025">
              <w:rPr>
                <w:szCs w:val="28"/>
              </w:rPr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  <w:p w:rsidR="00961821" w:rsidRPr="00254025" w:rsidRDefault="00961821" w:rsidP="00346991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lastRenderedPageBreak/>
              <w:t>Группа субъектов (указываются данные из раздела 6)</w:t>
            </w:r>
          </w:p>
        </w:tc>
        <w:tc>
          <w:tcPr>
            <w:tcW w:w="2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3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новых или изменения содержания существующих обязанностей, запретов и ограничений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и количественная оценка расходов субъектов</w:t>
            </w:r>
            <w:r w:rsidRPr="008E63E2">
              <w:rPr>
                <w:sz w:val="24"/>
                <w:szCs w:val="24"/>
              </w:rPr>
              <w:br/>
              <w:t>(тыс. руб.)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1068" w:rsidRPr="00427DE3" w:rsidRDefault="00DE1068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>ндивидуальны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предпринимате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ли и юридические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лиц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а, осуществляющие или планирующие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осуществлять</w:t>
            </w:r>
          </w:p>
          <w:p w:rsidR="00DE1068" w:rsidRPr="00427DE3" w:rsidRDefault="00DE1068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деятельность в сфере розничной торговли на территории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Вятскополянского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муниципального района</w:t>
            </w:r>
          </w:p>
          <w:p w:rsidR="00F81B28" w:rsidRPr="008E63E2" w:rsidRDefault="00F81B28" w:rsidP="004D4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4D4A52" w:rsidRDefault="004D4A52" w:rsidP="004D4A52">
            <w:pPr>
              <w:jc w:val="both"/>
              <w:rPr>
                <w:sz w:val="24"/>
                <w:szCs w:val="24"/>
              </w:rPr>
            </w:pPr>
            <w:r w:rsidRPr="004D4A52">
              <w:rPr>
                <w:sz w:val="24"/>
                <w:szCs w:val="24"/>
              </w:rPr>
              <w:t>Предполагаемое муниципальное регулирование не влечет возникновения дополнительных обязанностей для субъектов предпринимательской деятельности, а также не внесет изменений в содержание существующих обязанностей указанных субъектов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 xml:space="preserve">Источники данных, послужившие основанием для количественной оценки расходов субъектов: </w:t>
            </w:r>
            <w:r w:rsidR="004D4A52">
              <w:rPr>
                <w:sz w:val="24"/>
                <w:szCs w:val="24"/>
              </w:rPr>
              <w:t>----</w:t>
            </w:r>
            <w:r w:rsidR="00B57B70">
              <w:rPr>
                <w:sz w:val="24"/>
                <w:szCs w:val="24"/>
              </w:rPr>
              <w:t>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расходов субъектов, не поддающихся количественной оценке:</w:t>
            </w:r>
            <w:r w:rsidR="004D4A52">
              <w:rPr>
                <w:sz w:val="24"/>
                <w:szCs w:val="24"/>
              </w:rPr>
              <w:t xml:space="preserve"> -----</w:t>
            </w:r>
          </w:p>
          <w:p w:rsidR="00F81B28" w:rsidRPr="008E63E2" w:rsidRDefault="00F81B28" w:rsidP="00346991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46991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 xml:space="preserve">10. Оценка рисков возникновения неблагоприятных последствий принятия (издания) правового акта </w:t>
            </w:r>
          </w:p>
          <w:p w:rsidR="004D4A52" w:rsidRDefault="004D4A52" w:rsidP="004D4A52">
            <w:pPr>
              <w:pStyle w:val="11"/>
              <w:tabs>
                <w:tab w:val="left" w:pos="9354"/>
              </w:tabs>
              <w:spacing w:after="0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52" w:rsidRPr="004D4A52" w:rsidRDefault="004D4A52" w:rsidP="004D4A52">
            <w:pPr>
              <w:pStyle w:val="11"/>
              <w:tabs>
                <w:tab w:val="left" w:pos="9354"/>
              </w:tabs>
              <w:spacing w:after="0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обеспечена необходимыми техническими, финансовыми и организационными ресурсами. Риски  </w:t>
            </w:r>
            <w:proofErr w:type="gram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возникновения неблагоприятных последствий принятия проекта постановления  администрации</w:t>
            </w:r>
            <w:proofErr w:type="gram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утверждении Порядка предоставления права на размещение нестационарного торгового объекта на территории муниципального образования Вятскополянский муниципальный район» отсутствуют.</w:t>
            </w:r>
          </w:p>
          <w:p w:rsidR="00F81B28" w:rsidRDefault="00F81B28" w:rsidP="00346991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  <w:p w:rsidR="00ED5E59" w:rsidRDefault="00ED5E59" w:rsidP="00346991">
            <w:pPr>
              <w:ind w:firstLine="567"/>
              <w:jc w:val="both"/>
              <w:rPr>
                <w:szCs w:val="28"/>
              </w:rPr>
            </w:pPr>
          </w:p>
          <w:p w:rsidR="00ED5E59" w:rsidRPr="00254025" w:rsidRDefault="00ED5E59" w:rsidP="00346991">
            <w:pPr>
              <w:ind w:firstLine="567"/>
              <w:jc w:val="both"/>
              <w:rPr>
                <w:szCs w:val="28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Предполагаемая дата вступления в силу: </w:t>
            </w:r>
            <w:r w:rsidR="004D4A52">
              <w:rPr>
                <w:sz w:val="24"/>
                <w:szCs w:val="24"/>
              </w:rPr>
              <w:t>ноябрь</w:t>
            </w:r>
            <w:r w:rsidRPr="008E63E2">
              <w:rPr>
                <w:sz w:val="24"/>
                <w:szCs w:val="24"/>
              </w:rPr>
              <w:t xml:space="preserve"> 20</w:t>
            </w:r>
            <w:r w:rsidR="004D4A52">
              <w:rPr>
                <w:sz w:val="24"/>
                <w:szCs w:val="24"/>
              </w:rPr>
              <w:t xml:space="preserve">19 </w:t>
            </w:r>
            <w:r w:rsidRPr="008E63E2">
              <w:rPr>
                <w:sz w:val="24"/>
                <w:szCs w:val="24"/>
              </w:rPr>
              <w:t>г.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Необходимость установления переходного периода и (или) отсрочки вс</w:t>
            </w:r>
            <w:r w:rsidR="00961821">
              <w:rPr>
                <w:sz w:val="24"/>
                <w:szCs w:val="24"/>
              </w:rPr>
              <w:t xml:space="preserve">тупления в силу правового акта: </w:t>
            </w:r>
            <w:r w:rsidR="004D4A52">
              <w:rPr>
                <w:sz w:val="24"/>
                <w:szCs w:val="24"/>
              </w:rPr>
              <w:t>нет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11.3.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Необходимость распространения положений правового акта на ранее возникшие отношения: </w:t>
            </w:r>
            <w:r w:rsidR="004D4A52">
              <w:rPr>
                <w:sz w:val="24"/>
                <w:szCs w:val="24"/>
              </w:rPr>
              <w:t>нет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4699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lastRenderedPageBreak/>
              <w:t>11.4.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961821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="004D4A52">
              <w:rPr>
                <w:sz w:val="24"/>
                <w:szCs w:val="24"/>
              </w:rPr>
              <w:t>-----</w:t>
            </w:r>
          </w:p>
        </w:tc>
      </w:tr>
      <w:tr w:rsidR="00F81B28" w:rsidRPr="008E63E2" w:rsidTr="00984E4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1B28" w:rsidRPr="00961821" w:rsidRDefault="00F81B28" w:rsidP="00984E42">
            <w:pPr>
              <w:spacing w:before="100" w:beforeAutospacing="1"/>
              <w:jc w:val="both"/>
              <w:rPr>
                <w:i/>
                <w:szCs w:val="28"/>
              </w:rPr>
            </w:pPr>
          </w:p>
        </w:tc>
      </w:tr>
      <w:tr w:rsidR="004D4A52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4A52" w:rsidRPr="00254025" w:rsidRDefault="004D4A52" w:rsidP="00ED5E59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  <w:tr w:rsidR="004D4A52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4A52" w:rsidRPr="00254025" w:rsidRDefault="004D4A52" w:rsidP="00ED5E59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</w:tbl>
    <w:p w:rsidR="00ED5E59" w:rsidRDefault="00ED5E59" w:rsidP="00984E42">
      <w:pPr>
        <w:spacing w:before="100" w:beforeAutospacing="1"/>
        <w:outlineLvl w:val="1"/>
        <w:rPr>
          <w:bCs/>
          <w:szCs w:val="28"/>
        </w:rPr>
      </w:pPr>
    </w:p>
    <w:p w:rsidR="00984E42" w:rsidRDefault="00984E42" w:rsidP="00984E42">
      <w:pPr>
        <w:spacing w:before="100" w:beforeAutospacing="1"/>
        <w:jc w:val="both"/>
        <w:rPr>
          <w:szCs w:val="28"/>
        </w:rPr>
      </w:pPr>
      <w:r>
        <w:rPr>
          <w:szCs w:val="28"/>
        </w:rPr>
        <w:t>Разработчик:</w:t>
      </w:r>
    </w:p>
    <w:p w:rsidR="00984E42" w:rsidRDefault="00984E42" w:rsidP="00984E42">
      <w:pPr>
        <w:ind w:firstLine="567"/>
        <w:jc w:val="both"/>
        <w:rPr>
          <w:szCs w:val="28"/>
        </w:rPr>
      </w:pPr>
    </w:p>
    <w:p w:rsidR="00984E42" w:rsidRDefault="00984E42" w:rsidP="00984E42">
      <w:pPr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984E42" w:rsidRDefault="00984E42" w:rsidP="00984E42">
      <w:pPr>
        <w:jc w:val="both"/>
        <w:rPr>
          <w:szCs w:val="28"/>
        </w:rPr>
      </w:pPr>
      <w:r>
        <w:rPr>
          <w:szCs w:val="28"/>
        </w:rPr>
        <w:t>экономического развития</w:t>
      </w:r>
    </w:p>
    <w:p w:rsidR="00984E42" w:rsidRPr="00254025" w:rsidRDefault="00984E42" w:rsidP="00984E42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Вятскополянского</w:t>
      </w:r>
      <w:proofErr w:type="spellEnd"/>
      <w:r>
        <w:rPr>
          <w:szCs w:val="28"/>
        </w:rPr>
        <w:t xml:space="preserve"> района                       И.Н. Ворончихина</w:t>
      </w: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ED5E59" w:rsidRDefault="00ED5E59" w:rsidP="00F81B2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sectPr w:rsidR="00ED5E59" w:rsidSect="00227487">
      <w:pgSz w:w="11906" w:h="16838"/>
      <w:pgMar w:top="993" w:right="707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BA" w:rsidRDefault="006C44BA" w:rsidP="00CF0A7A">
      <w:r>
        <w:separator/>
      </w:r>
    </w:p>
  </w:endnote>
  <w:endnote w:type="continuationSeparator" w:id="0">
    <w:p w:rsidR="006C44BA" w:rsidRDefault="006C44BA" w:rsidP="00C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BA" w:rsidRDefault="006C44BA" w:rsidP="00CF0A7A">
      <w:r>
        <w:separator/>
      </w:r>
    </w:p>
  </w:footnote>
  <w:footnote w:type="continuationSeparator" w:id="0">
    <w:p w:rsidR="006C44BA" w:rsidRDefault="006C44BA" w:rsidP="00CF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24416F5"/>
    <w:multiLevelType w:val="hybridMultilevel"/>
    <w:tmpl w:val="B7782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CC61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6D5C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81978"/>
    <w:multiLevelType w:val="hybridMultilevel"/>
    <w:tmpl w:val="7F1E4234"/>
    <w:lvl w:ilvl="0" w:tplc="4FF4B6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53B34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200DC1"/>
    <w:multiLevelType w:val="hybridMultilevel"/>
    <w:tmpl w:val="E44CCEE4"/>
    <w:lvl w:ilvl="0" w:tplc="A07ADD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701B9"/>
    <w:multiLevelType w:val="hybridMultilevel"/>
    <w:tmpl w:val="ECEA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C4A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7C5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4C2B96"/>
    <w:multiLevelType w:val="hybridMultilevel"/>
    <w:tmpl w:val="1A2A07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B120D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D45227"/>
    <w:multiLevelType w:val="hybridMultilevel"/>
    <w:tmpl w:val="019AED16"/>
    <w:lvl w:ilvl="0" w:tplc="4FB2D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430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5C61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DA1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C301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107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8770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655DD1"/>
    <w:multiLevelType w:val="hybridMultilevel"/>
    <w:tmpl w:val="24320636"/>
    <w:lvl w:ilvl="0" w:tplc="C8D083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A40F1E">
      <w:numFmt w:val="none"/>
      <w:lvlText w:val=""/>
      <w:lvlJc w:val="left"/>
      <w:pPr>
        <w:tabs>
          <w:tab w:val="num" w:pos="360"/>
        </w:tabs>
      </w:pPr>
    </w:lvl>
    <w:lvl w:ilvl="2" w:tplc="364C86DE">
      <w:numFmt w:val="none"/>
      <w:lvlText w:val=""/>
      <w:lvlJc w:val="left"/>
      <w:pPr>
        <w:tabs>
          <w:tab w:val="num" w:pos="360"/>
        </w:tabs>
      </w:pPr>
    </w:lvl>
    <w:lvl w:ilvl="3" w:tplc="5984B182">
      <w:numFmt w:val="none"/>
      <w:lvlText w:val=""/>
      <w:lvlJc w:val="left"/>
      <w:pPr>
        <w:tabs>
          <w:tab w:val="num" w:pos="360"/>
        </w:tabs>
      </w:pPr>
    </w:lvl>
    <w:lvl w:ilvl="4" w:tplc="473AFA3E">
      <w:numFmt w:val="none"/>
      <w:lvlText w:val=""/>
      <w:lvlJc w:val="left"/>
      <w:pPr>
        <w:tabs>
          <w:tab w:val="num" w:pos="360"/>
        </w:tabs>
      </w:pPr>
    </w:lvl>
    <w:lvl w:ilvl="5" w:tplc="CDB08500">
      <w:numFmt w:val="none"/>
      <w:lvlText w:val=""/>
      <w:lvlJc w:val="left"/>
      <w:pPr>
        <w:tabs>
          <w:tab w:val="num" w:pos="360"/>
        </w:tabs>
      </w:pPr>
    </w:lvl>
    <w:lvl w:ilvl="6" w:tplc="BD4EE312">
      <w:numFmt w:val="none"/>
      <w:lvlText w:val=""/>
      <w:lvlJc w:val="left"/>
      <w:pPr>
        <w:tabs>
          <w:tab w:val="num" w:pos="360"/>
        </w:tabs>
      </w:pPr>
    </w:lvl>
    <w:lvl w:ilvl="7" w:tplc="A4C00518">
      <w:numFmt w:val="none"/>
      <w:lvlText w:val=""/>
      <w:lvlJc w:val="left"/>
      <w:pPr>
        <w:tabs>
          <w:tab w:val="num" w:pos="360"/>
        </w:tabs>
      </w:pPr>
    </w:lvl>
    <w:lvl w:ilvl="8" w:tplc="D53280B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353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2A2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267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740A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C81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C40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A31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26"/>
  </w:num>
  <w:num w:numId="6">
    <w:abstractNumId w:val="9"/>
  </w:num>
  <w:num w:numId="7">
    <w:abstractNumId w:val="21"/>
  </w:num>
  <w:num w:numId="8">
    <w:abstractNumId w:val="0"/>
  </w:num>
  <w:num w:numId="9">
    <w:abstractNumId w:val="11"/>
  </w:num>
  <w:num w:numId="10">
    <w:abstractNumId w:val="5"/>
  </w:num>
  <w:num w:numId="11">
    <w:abstractNumId w:val="24"/>
  </w:num>
  <w:num w:numId="12">
    <w:abstractNumId w:val="18"/>
  </w:num>
  <w:num w:numId="13">
    <w:abstractNumId w:val="25"/>
  </w:num>
  <w:num w:numId="14">
    <w:abstractNumId w:val="22"/>
  </w:num>
  <w:num w:numId="15">
    <w:abstractNumId w:val="20"/>
  </w:num>
  <w:num w:numId="16">
    <w:abstractNumId w:val="12"/>
  </w:num>
  <w:num w:numId="17">
    <w:abstractNumId w:val="16"/>
  </w:num>
  <w:num w:numId="18">
    <w:abstractNumId w:val="15"/>
  </w:num>
  <w:num w:numId="19">
    <w:abstractNumId w:val="17"/>
  </w:num>
  <w:num w:numId="20">
    <w:abstractNumId w:val="3"/>
  </w:num>
  <w:num w:numId="21">
    <w:abstractNumId w:val="23"/>
  </w:num>
  <w:num w:numId="22">
    <w:abstractNumId w:val="8"/>
  </w:num>
  <w:num w:numId="23">
    <w:abstractNumId w:val="14"/>
  </w:num>
  <w:num w:numId="24">
    <w:abstractNumId w:val="13"/>
  </w:num>
  <w:num w:numId="25">
    <w:abstractNumId w:val="4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2C"/>
    <w:rsid w:val="0000210C"/>
    <w:rsid w:val="0000685C"/>
    <w:rsid w:val="00013650"/>
    <w:rsid w:val="000153C0"/>
    <w:rsid w:val="00017292"/>
    <w:rsid w:val="00020514"/>
    <w:rsid w:val="0002146A"/>
    <w:rsid w:val="00021A91"/>
    <w:rsid w:val="00022AE4"/>
    <w:rsid w:val="00026FEC"/>
    <w:rsid w:val="000356F9"/>
    <w:rsid w:val="000407FB"/>
    <w:rsid w:val="00042ABB"/>
    <w:rsid w:val="0004382F"/>
    <w:rsid w:val="00046ED7"/>
    <w:rsid w:val="00051453"/>
    <w:rsid w:val="00054DC6"/>
    <w:rsid w:val="00057308"/>
    <w:rsid w:val="00060EB4"/>
    <w:rsid w:val="000629D6"/>
    <w:rsid w:val="00062F06"/>
    <w:rsid w:val="00064E5A"/>
    <w:rsid w:val="000657E5"/>
    <w:rsid w:val="000664BD"/>
    <w:rsid w:val="000810DF"/>
    <w:rsid w:val="00083A32"/>
    <w:rsid w:val="00085B09"/>
    <w:rsid w:val="00086F60"/>
    <w:rsid w:val="00091FB8"/>
    <w:rsid w:val="000925FA"/>
    <w:rsid w:val="00092D47"/>
    <w:rsid w:val="000945C2"/>
    <w:rsid w:val="00095FE5"/>
    <w:rsid w:val="000978B8"/>
    <w:rsid w:val="000A1B39"/>
    <w:rsid w:val="000A3E62"/>
    <w:rsid w:val="000A5384"/>
    <w:rsid w:val="000A6114"/>
    <w:rsid w:val="000A77B7"/>
    <w:rsid w:val="000B0E5C"/>
    <w:rsid w:val="000B3C31"/>
    <w:rsid w:val="000B7044"/>
    <w:rsid w:val="000C008A"/>
    <w:rsid w:val="000C1868"/>
    <w:rsid w:val="000C42A6"/>
    <w:rsid w:val="000C56FF"/>
    <w:rsid w:val="000C5EA7"/>
    <w:rsid w:val="000D4357"/>
    <w:rsid w:val="000D6D00"/>
    <w:rsid w:val="000E0E99"/>
    <w:rsid w:val="000E2767"/>
    <w:rsid w:val="000F0B1B"/>
    <w:rsid w:val="000F1622"/>
    <w:rsid w:val="000F489F"/>
    <w:rsid w:val="00100B23"/>
    <w:rsid w:val="00102554"/>
    <w:rsid w:val="0010567F"/>
    <w:rsid w:val="00105832"/>
    <w:rsid w:val="00106D4D"/>
    <w:rsid w:val="00110507"/>
    <w:rsid w:val="00113D8C"/>
    <w:rsid w:val="00114A64"/>
    <w:rsid w:val="0011600C"/>
    <w:rsid w:val="00120CF2"/>
    <w:rsid w:val="00120DF0"/>
    <w:rsid w:val="00121023"/>
    <w:rsid w:val="001238D4"/>
    <w:rsid w:val="0013050A"/>
    <w:rsid w:val="001355F1"/>
    <w:rsid w:val="00136C5E"/>
    <w:rsid w:val="00137669"/>
    <w:rsid w:val="00141FB0"/>
    <w:rsid w:val="00142462"/>
    <w:rsid w:val="00144C59"/>
    <w:rsid w:val="001505C7"/>
    <w:rsid w:val="00162299"/>
    <w:rsid w:val="00162AA5"/>
    <w:rsid w:val="00163548"/>
    <w:rsid w:val="00164615"/>
    <w:rsid w:val="00167AD1"/>
    <w:rsid w:val="00171323"/>
    <w:rsid w:val="00173B7A"/>
    <w:rsid w:val="00174EA8"/>
    <w:rsid w:val="001769B6"/>
    <w:rsid w:val="0018099F"/>
    <w:rsid w:val="001811A1"/>
    <w:rsid w:val="001811D0"/>
    <w:rsid w:val="00182A52"/>
    <w:rsid w:val="00183A4A"/>
    <w:rsid w:val="00183E61"/>
    <w:rsid w:val="00183FD7"/>
    <w:rsid w:val="00186F8E"/>
    <w:rsid w:val="001936F1"/>
    <w:rsid w:val="00196623"/>
    <w:rsid w:val="00196CF9"/>
    <w:rsid w:val="001A11BE"/>
    <w:rsid w:val="001A6790"/>
    <w:rsid w:val="001A7C9A"/>
    <w:rsid w:val="001B64F3"/>
    <w:rsid w:val="001B6E2E"/>
    <w:rsid w:val="001C15A4"/>
    <w:rsid w:val="001C17C0"/>
    <w:rsid w:val="001C3C0A"/>
    <w:rsid w:val="001C7E5D"/>
    <w:rsid w:val="001D1EBB"/>
    <w:rsid w:val="001D2E06"/>
    <w:rsid w:val="001D6088"/>
    <w:rsid w:val="001E0DB4"/>
    <w:rsid w:val="001E2A37"/>
    <w:rsid w:val="001E5339"/>
    <w:rsid w:val="001F4C3D"/>
    <w:rsid w:val="00202E27"/>
    <w:rsid w:val="002035DD"/>
    <w:rsid w:val="00204D94"/>
    <w:rsid w:val="00206E1C"/>
    <w:rsid w:val="00207381"/>
    <w:rsid w:val="002110D5"/>
    <w:rsid w:val="0021117B"/>
    <w:rsid w:val="00211E1C"/>
    <w:rsid w:val="00212032"/>
    <w:rsid w:val="00212F11"/>
    <w:rsid w:val="002144E7"/>
    <w:rsid w:val="00215AFB"/>
    <w:rsid w:val="00216D3D"/>
    <w:rsid w:val="0022035D"/>
    <w:rsid w:val="002249C8"/>
    <w:rsid w:val="00227052"/>
    <w:rsid w:val="00227487"/>
    <w:rsid w:val="00227517"/>
    <w:rsid w:val="00232DC5"/>
    <w:rsid w:val="002423C8"/>
    <w:rsid w:val="00242D65"/>
    <w:rsid w:val="00242FED"/>
    <w:rsid w:val="002447D4"/>
    <w:rsid w:val="002468EA"/>
    <w:rsid w:val="00246E34"/>
    <w:rsid w:val="00250520"/>
    <w:rsid w:val="002523FA"/>
    <w:rsid w:val="0025357B"/>
    <w:rsid w:val="00253E49"/>
    <w:rsid w:val="00254025"/>
    <w:rsid w:val="00254556"/>
    <w:rsid w:val="00257473"/>
    <w:rsid w:val="00265513"/>
    <w:rsid w:val="00270FC6"/>
    <w:rsid w:val="00271047"/>
    <w:rsid w:val="002739BE"/>
    <w:rsid w:val="00280166"/>
    <w:rsid w:val="0028075D"/>
    <w:rsid w:val="002824A6"/>
    <w:rsid w:val="00282FD7"/>
    <w:rsid w:val="00283AEB"/>
    <w:rsid w:val="0028428D"/>
    <w:rsid w:val="00284581"/>
    <w:rsid w:val="00285281"/>
    <w:rsid w:val="00291F88"/>
    <w:rsid w:val="00292535"/>
    <w:rsid w:val="00292A68"/>
    <w:rsid w:val="00296B2D"/>
    <w:rsid w:val="002A2C98"/>
    <w:rsid w:val="002A54C1"/>
    <w:rsid w:val="002A5541"/>
    <w:rsid w:val="002A63C3"/>
    <w:rsid w:val="002B0233"/>
    <w:rsid w:val="002B1F04"/>
    <w:rsid w:val="002B42FC"/>
    <w:rsid w:val="002B47AC"/>
    <w:rsid w:val="002B50D5"/>
    <w:rsid w:val="002C023B"/>
    <w:rsid w:val="002C3B3E"/>
    <w:rsid w:val="002D17B4"/>
    <w:rsid w:val="002D2314"/>
    <w:rsid w:val="002D2FD3"/>
    <w:rsid w:val="002D4A12"/>
    <w:rsid w:val="002D4BC5"/>
    <w:rsid w:val="002D561D"/>
    <w:rsid w:val="002D64BE"/>
    <w:rsid w:val="002E1557"/>
    <w:rsid w:val="002E36F7"/>
    <w:rsid w:val="002F01EA"/>
    <w:rsid w:val="002F4AA8"/>
    <w:rsid w:val="002F725B"/>
    <w:rsid w:val="002F7521"/>
    <w:rsid w:val="002F7A30"/>
    <w:rsid w:val="00302EAA"/>
    <w:rsid w:val="00303F58"/>
    <w:rsid w:val="003056A8"/>
    <w:rsid w:val="00306123"/>
    <w:rsid w:val="00306929"/>
    <w:rsid w:val="00306EA0"/>
    <w:rsid w:val="003106F6"/>
    <w:rsid w:val="00315B80"/>
    <w:rsid w:val="003172B3"/>
    <w:rsid w:val="00320983"/>
    <w:rsid w:val="00324DC2"/>
    <w:rsid w:val="00331BDC"/>
    <w:rsid w:val="00334B6A"/>
    <w:rsid w:val="00336CD4"/>
    <w:rsid w:val="00340303"/>
    <w:rsid w:val="00343786"/>
    <w:rsid w:val="00347680"/>
    <w:rsid w:val="00351670"/>
    <w:rsid w:val="0036048F"/>
    <w:rsid w:val="003626C5"/>
    <w:rsid w:val="00366DEA"/>
    <w:rsid w:val="00367630"/>
    <w:rsid w:val="00371182"/>
    <w:rsid w:val="003778CD"/>
    <w:rsid w:val="00381AE8"/>
    <w:rsid w:val="00383789"/>
    <w:rsid w:val="00384C1B"/>
    <w:rsid w:val="003856A3"/>
    <w:rsid w:val="00385F7D"/>
    <w:rsid w:val="003869A5"/>
    <w:rsid w:val="00387317"/>
    <w:rsid w:val="00390C46"/>
    <w:rsid w:val="00391818"/>
    <w:rsid w:val="00392AD1"/>
    <w:rsid w:val="00394804"/>
    <w:rsid w:val="00396062"/>
    <w:rsid w:val="00396308"/>
    <w:rsid w:val="003A2015"/>
    <w:rsid w:val="003A2FEB"/>
    <w:rsid w:val="003A32E2"/>
    <w:rsid w:val="003A6DE7"/>
    <w:rsid w:val="003B0D07"/>
    <w:rsid w:val="003B1344"/>
    <w:rsid w:val="003B3C36"/>
    <w:rsid w:val="003B4514"/>
    <w:rsid w:val="003C1C47"/>
    <w:rsid w:val="003D0E73"/>
    <w:rsid w:val="003D350A"/>
    <w:rsid w:val="003D7BE9"/>
    <w:rsid w:val="003E01FC"/>
    <w:rsid w:val="003E04CA"/>
    <w:rsid w:val="003E0D4F"/>
    <w:rsid w:val="003E2613"/>
    <w:rsid w:val="003E495B"/>
    <w:rsid w:val="003E5821"/>
    <w:rsid w:val="003E654C"/>
    <w:rsid w:val="003E737A"/>
    <w:rsid w:val="004004E4"/>
    <w:rsid w:val="004008A9"/>
    <w:rsid w:val="00400D37"/>
    <w:rsid w:val="00404616"/>
    <w:rsid w:val="004103BB"/>
    <w:rsid w:val="00411709"/>
    <w:rsid w:val="00420AEB"/>
    <w:rsid w:val="00420E3F"/>
    <w:rsid w:val="00421BDB"/>
    <w:rsid w:val="0042572A"/>
    <w:rsid w:val="00425F03"/>
    <w:rsid w:val="0042765E"/>
    <w:rsid w:val="00427DE3"/>
    <w:rsid w:val="004422EF"/>
    <w:rsid w:val="0045063F"/>
    <w:rsid w:val="00451F11"/>
    <w:rsid w:val="00453BF4"/>
    <w:rsid w:val="00454275"/>
    <w:rsid w:val="00454DC2"/>
    <w:rsid w:val="00455B72"/>
    <w:rsid w:val="00455D02"/>
    <w:rsid w:val="0045675B"/>
    <w:rsid w:val="00461323"/>
    <w:rsid w:val="004616FC"/>
    <w:rsid w:val="00466301"/>
    <w:rsid w:val="00467368"/>
    <w:rsid w:val="00472A0F"/>
    <w:rsid w:val="0047703F"/>
    <w:rsid w:val="004805EC"/>
    <w:rsid w:val="00482009"/>
    <w:rsid w:val="004821F4"/>
    <w:rsid w:val="00485E90"/>
    <w:rsid w:val="00487EE3"/>
    <w:rsid w:val="00490BAB"/>
    <w:rsid w:val="00491AE5"/>
    <w:rsid w:val="004941A8"/>
    <w:rsid w:val="00494C35"/>
    <w:rsid w:val="00494CF3"/>
    <w:rsid w:val="004A0E0D"/>
    <w:rsid w:val="004A1578"/>
    <w:rsid w:val="004A1CCC"/>
    <w:rsid w:val="004A2E5B"/>
    <w:rsid w:val="004A4B57"/>
    <w:rsid w:val="004A4E25"/>
    <w:rsid w:val="004A53C9"/>
    <w:rsid w:val="004A7DE0"/>
    <w:rsid w:val="004B7702"/>
    <w:rsid w:val="004C27A0"/>
    <w:rsid w:val="004C4B2D"/>
    <w:rsid w:val="004C5428"/>
    <w:rsid w:val="004C78CA"/>
    <w:rsid w:val="004D0158"/>
    <w:rsid w:val="004D35D9"/>
    <w:rsid w:val="004D3876"/>
    <w:rsid w:val="004D4374"/>
    <w:rsid w:val="004D4A52"/>
    <w:rsid w:val="004E06A2"/>
    <w:rsid w:val="004E241F"/>
    <w:rsid w:val="004E5039"/>
    <w:rsid w:val="004E50F8"/>
    <w:rsid w:val="004F0E36"/>
    <w:rsid w:val="004F467C"/>
    <w:rsid w:val="004F6A3B"/>
    <w:rsid w:val="00500490"/>
    <w:rsid w:val="00506894"/>
    <w:rsid w:val="00507CDA"/>
    <w:rsid w:val="00515958"/>
    <w:rsid w:val="0051629E"/>
    <w:rsid w:val="005163D7"/>
    <w:rsid w:val="005165C6"/>
    <w:rsid w:val="0052292B"/>
    <w:rsid w:val="0052407B"/>
    <w:rsid w:val="00524623"/>
    <w:rsid w:val="00524D44"/>
    <w:rsid w:val="00525F6B"/>
    <w:rsid w:val="005354A4"/>
    <w:rsid w:val="0053598B"/>
    <w:rsid w:val="005359FF"/>
    <w:rsid w:val="00536BDE"/>
    <w:rsid w:val="00537C05"/>
    <w:rsid w:val="005408CD"/>
    <w:rsid w:val="005430E1"/>
    <w:rsid w:val="00547E75"/>
    <w:rsid w:val="005506E5"/>
    <w:rsid w:val="005530DE"/>
    <w:rsid w:val="0055473F"/>
    <w:rsid w:val="005557D8"/>
    <w:rsid w:val="00563C91"/>
    <w:rsid w:val="0056449E"/>
    <w:rsid w:val="00564CF5"/>
    <w:rsid w:val="005654EF"/>
    <w:rsid w:val="00573352"/>
    <w:rsid w:val="005763CF"/>
    <w:rsid w:val="0057771A"/>
    <w:rsid w:val="005800C9"/>
    <w:rsid w:val="0058166D"/>
    <w:rsid w:val="005820A3"/>
    <w:rsid w:val="0058265C"/>
    <w:rsid w:val="00582F22"/>
    <w:rsid w:val="00591FD3"/>
    <w:rsid w:val="005935F7"/>
    <w:rsid w:val="005950C4"/>
    <w:rsid w:val="00596BC4"/>
    <w:rsid w:val="0059703E"/>
    <w:rsid w:val="005A1038"/>
    <w:rsid w:val="005B2742"/>
    <w:rsid w:val="005B3DF1"/>
    <w:rsid w:val="005B4327"/>
    <w:rsid w:val="005B4C17"/>
    <w:rsid w:val="005C539A"/>
    <w:rsid w:val="005C7680"/>
    <w:rsid w:val="005D1C6F"/>
    <w:rsid w:val="005D4BB1"/>
    <w:rsid w:val="005D50FD"/>
    <w:rsid w:val="005D7FEF"/>
    <w:rsid w:val="005E063A"/>
    <w:rsid w:val="005E1035"/>
    <w:rsid w:val="005E17EE"/>
    <w:rsid w:val="005E2E34"/>
    <w:rsid w:val="005E3FA9"/>
    <w:rsid w:val="005E720B"/>
    <w:rsid w:val="005F2280"/>
    <w:rsid w:val="005F30FA"/>
    <w:rsid w:val="005F441D"/>
    <w:rsid w:val="005F70E4"/>
    <w:rsid w:val="006028CE"/>
    <w:rsid w:val="006066E5"/>
    <w:rsid w:val="00606FF0"/>
    <w:rsid w:val="00607B37"/>
    <w:rsid w:val="00612D10"/>
    <w:rsid w:val="006141D9"/>
    <w:rsid w:val="00621B52"/>
    <w:rsid w:val="00622DB0"/>
    <w:rsid w:val="006255F3"/>
    <w:rsid w:val="006330D5"/>
    <w:rsid w:val="00634AA0"/>
    <w:rsid w:val="00634DE3"/>
    <w:rsid w:val="00635BC8"/>
    <w:rsid w:val="00640BCA"/>
    <w:rsid w:val="00643FE2"/>
    <w:rsid w:val="00645786"/>
    <w:rsid w:val="00651C0F"/>
    <w:rsid w:val="0065526A"/>
    <w:rsid w:val="00664471"/>
    <w:rsid w:val="00665775"/>
    <w:rsid w:val="00667057"/>
    <w:rsid w:val="00667460"/>
    <w:rsid w:val="00667794"/>
    <w:rsid w:val="006757F8"/>
    <w:rsid w:val="0067589A"/>
    <w:rsid w:val="00675F39"/>
    <w:rsid w:val="00686413"/>
    <w:rsid w:val="00686CFC"/>
    <w:rsid w:val="0068717E"/>
    <w:rsid w:val="00690F37"/>
    <w:rsid w:val="00692742"/>
    <w:rsid w:val="0069291C"/>
    <w:rsid w:val="00697149"/>
    <w:rsid w:val="006A0D8D"/>
    <w:rsid w:val="006A30A5"/>
    <w:rsid w:val="006A31CA"/>
    <w:rsid w:val="006A3C65"/>
    <w:rsid w:val="006A7DC0"/>
    <w:rsid w:val="006B0FD5"/>
    <w:rsid w:val="006B38FF"/>
    <w:rsid w:val="006B3CEA"/>
    <w:rsid w:val="006B5902"/>
    <w:rsid w:val="006B751E"/>
    <w:rsid w:val="006B7EAC"/>
    <w:rsid w:val="006C01A1"/>
    <w:rsid w:val="006C0533"/>
    <w:rsid w:val="006C0C37"/>
    <w:rsid w:val="006C18A5"/>
    <w:rsid w:val="006C2B90"/>
    <w:rsid w:val="006C44BA"/>
    <w:rsid w:val="006D0148"/>
    <w:rsid w:val="006D0B5B"/>
    <w:rsid w:val="006D3B22"/>
    <w:rsid w:val="006E2A58"/>
    <w:rsid w:val="006E50AB"/>
    <w:rsid w:val="006F46C3"/>
    <w:rsid w:val="006F6635"/>
    <w:rsid w:val="00705DA8"/>
    <w:rsid w:val="00706A54"/>
    <w:rsid w:val="00710A16"/>
    <w:rsid w:val="0071537E"/>
    <w:rsid w:val="007214A0"/>
    <w:rsid w:val="00722579"/>
    <w:rsid w:val="00730628"/>
    <w:rsid w:val="00730CD9"/>
    <w:rsid w:val="00731A8C"/>
    <w:rsid w:val="007322AE"/>
    <w:rsid w:val="00742BFF"/>
    <w:rsid w:val="007462C3"/>
    <w:rsid w:val="00747ECC"/>
    <w:rsid w:val="00750388"/>
    <w:rsid w:val="007539B5"/>
    <w:rsid w:val="00753DD3"/>
    <w:rsid w:val="00754DF3"/>
    <w:rsid w:val="00757813"/>
    <w:rsid w:val="0076026B"/>
    <w:rsid w:val="007619AB"/>
    <w:rsid w:val="00763377"/>
    <w:rsid w:val="00763468"/>
    <w:rsid w:val="007646C4"/>
    <w:rsid w:val="0076476C"/>
    <w:rsid w:val="0076655F"/>
    <w:rsid w:val="007670D9"/>
    <w:rsid w:val="0076796C"/>
    <w:rsid w:val="0077028B"/>
    <w:rsid w:val="00771571"/>
    <w:rsid w:val="0078761C"/>
    <w:rsid w:val="00790517"/>
    <w:rsid w:val="00794B19"/>
    <w:rsid w:val="00794D30"/>
    <w:rsid w:val="007A1F21"/>
    <w:rsid w:val="007A25AC"/>
    <w:rsid w:val="007A384A"/>
    <w:rsid w:val="007A6509"/>
    <w:rsid w:val="007B0611"/>
    <w:rsid w:val="007B0C28"/>
    <w:rsid w:val="007B1186"/>
    <w:rsid w:val="007B1BD3"/>
    <w:rsid w:val="007B7581"/>
    <w:rsid w:val="007B7FF2"/>
    <w:rsid w:val="007C1BDA"/>
    <w:rsid w:val="007C37F1"/>
    <w:rsid w:val="007C388C"/>
    <w:rsid w:val="007C4952"/>
    <w:rsid w:val="007C7F1E"/>
    <w:rsid w:val="007D0C49"/>
    <w:rsid w:val="007D49A7"/>
    <w:rsid w:val="007D6F0F"/>
    <w:rsid w:val="007E0E5B"/>
    <w:rsid w:val="007E3E6D"/>
    <w:rsid w:val="007E4AC4"/>
    <w:rsid w:val="00806A29"/>
    <w:rsid w:val="00812487"/>
    <w:rsid w:val="008163EE"/>
    <w:rsid w:val="00817378"/>
    <w:rsid w:val="00817697"/>
    <w:rsid w:val="00820614"/>
    <w:rsid w:val="00821ECE"/>
    <w:rsid w:val="008224F4"/>
    <w:rsid w:val="00822A49"/>
    <w:rsid w:val="00824EB2"/>
    <w:rsid w:val="00825F2C"/>
    <w:rsid w:val="0082628C"/>
    <w:rsid w:val="0082753F"/>
    <w:rsid w:val="008350E6"/>
    <w:rsid w:val="00835419"/>
    <w:rsid w:val="008376D9"/>
    <w:rsid w:val="008420B3"/>
    <w:rsid w:val="008455ED"/>
    <w:rsid w:val="00846F53"/>
    <w:rsid w:val="0085639A"/>
    <w:rsid w:val="008658C6"/>
    <w:rsid w:val="008672F8"/>
    <w:rsid w:val="00867354"/>
    <w:rsid w:val="00870FD8"/>
    <w:rsid w:val="00871FC1"/>
    <w:rsid w:val="00881F75"/>
    <w:rsid w:val="00883579"/>
    <w:rsid w:val="008839DC"/>
    <w:rsid w:val="00887CF4"/>
    <w:rsid w:val="008933D8"/>
    <w:rsid w:val="00896519"/>
    <w:rsid w:val="00897804"/>
    <w:rsid w:val="008A0E2A"/>
    <w:rsid w:val="008A2C35"/>
    <w:rsid w:val="008A31B3"/>
    <w:rsid w:val="008A37E1"/>
    <w:rsid w:val="008A6EF5"/>
    <w:rsid w:val="008A7C54"/>
    <w:rsid w:val="008B0094"/>
    <w:rsid w:val="008B0812"/>
    <w:rsid w:val="008B2802"/>
    <w:rsid w:val="008B4D13"/>
    <w:rsid w:val="008B59C7"/>
    <w:rsid w:val="008B7B94"/>
    <w:rsid w:val="008C07F0"/>
    <w:rsid w:val="008C3CC4"/>
    <w:rsid w:val="008C4EA9"/>
    <w:rsid w:val="008C73AC"/>
    <w:rsid w:val="008C786B"/>
    <w:rsid w:val="008D56DB"/>
    <w:rsid w:val="008D6AE1"/>
    <w:rsid w:val="008D7943"/>
    <w:rsid w:val="008E0553"/>
    <w:rsid w:val="008E603F"/>
    <w:rsid w:val="008F0DB2"/>
    <w:rsid w:val="008F4097"/>
    <w:rsid w:val="008F5F85"/>
    <w:rsid w:val="008F68BD"/>
    <w:rsid w:val="008F7B8A"/>
    <w:rsid w:val="009006B9"/>
    <w:rsid w:val="00901D07"/>
    <w:rsid w:val="0090206A"/>
    <w:rsid w:val="00903CEC"/>
    <w:rsid w:val="00905514"/>
    <w:rsid w:val="009076E2"/>
    <w:rsid w:val="00916FB7"/>
    <w:rsid w:val="00917623"/>
    <w:rsid w:val="009203E2"/>
    <w:rsid w:val="00920F5C"/>
    <w:rsid w:val="00923464"/>
    <w:rsid w:val="00925BAB"/>
    <w:rsid w:val="009271F0"/>
    <w:rsid w:val="0093325F"/>
    <w:rsid w:val="009334C2"/>
    <w:rsid w:val="00934177"/>
    <w:rsid w:val="00935152"/>
    <w:rsid w:val="00945547"/>
    <w:rsid w:val="00945FBC"/>
    <w:rsid w:val="00950A9E"/>
    <w:rsid w:val="0095282A"/>
    <w:rsid w:val="00952CEF"/>
    <w:rsid w:val="00961821"/>
    <w:rsid w:val="0096514F"/>
    <w:rsid w:val="00974C8D"/>
    <w:rsid w:val="00974F22"/>
    <w:rsid w:val="00981824"/>
    <w:rsid w:val="00983108"/>
    <w:rsid w:val="009838FC"/>
    <w:rsid w:val="00984E42"/>
    <w:rsid w:val="00987075"/>
    <w:rsid w:val="00990028"/>
    <w:rsid w:val="00991BEA"/>
    <w:rsid w:val="009964C5"/>
    <w:rsid w:val="009A1AF9"/>
    <w:rsid w:val="009A56CA"/>
    <w:rsid w:val="009A5B10"/>
    <w:rsid w:val="009A6FB7"/>
    <w:rsid w:val="009B130F"/>
    <w:rsid w:val="009B1B83"/>
    <w:rsid w:val="009B1F5F"/>
    <w:rsid w:val="009C4E8F"/>
    <w:rsid w:val="009C60A2"/>
    <w:rsid w:val="009C77C5"/>
    <w:rsid w:val="009D0946"/>
    <w:rsid w:val="009D4C4A"/>
    <w:rsid w:val="009D7841"/>
    <w:rsid w:val="009E4985"/>
    <w:rsid w:val="009E5FFB"/>
    <w:rsid w:val="009E7643"/>
    <w:rsid w:val="009F17B7"/>
    <w:rsid w:val="009F1E77"/>
    <w:rsid w:val="009F4D26"/>
    <w:rsid w:val="009F4E37"/>
    <w:rsid w:val="00A00CD3"/>
    <w:rsid w:val="00A017FF"/>
    <w:rsid w:val="00A042E2"/>
    <w:rsid w:val="00A100D7"/>
    <w:rsid w:val="00A10106"/>
    <w:rsid w:val="00A11735"/>
    <w:rsid w:val="00A145D2"/>
    <w:rsid w:val="00A16FC0"/>
    <w:rsid w:val="00A22CF4"/>
    <w:rsid w:val="00A2389A"/>
    <w:rsid w:val="00A260F9"/>
    <w:rsid w:val="00A272F5"/>
    <w:rsid w:val="00A31398"/>
    <w:rsid w:val="00A32D32"/>
    <w:rsid w:val="00A37754"/>
    <w:rsid w:val="00A468FE"/>
    <w:rsid w:val="00A46A32"/>
    <w:rsid w:val="00A50F76"/>
    <w:rsid w:val="00A51D6C"/>
    <w:rsid w:val="00A51EAB"/>
    <w:rsid w:val="00A522DB"/>
    <w:rsid w:val="00A54266"/>
    <w:rsid w:val="00A55217"/>
    <w:rsid w:val="00A5577A"/>
    <w:rsid w:val="00A62632"/>
    <w:rsid w:val="00A62810"/>
    <w:rsid w:val="00A62FCF"/>
    <w:rsid w:val="00A63B8C"/>
    <w:rsid w:val="00A64763"/>
    <w:rsid w:val="00A66567"/>
    <w:rsid w:val="00A837EC"/>
    <w:rsid w:val="00A83A21"/>
    <w:rsid w:val="00A86F99"/>
    <w:rsid w:val="00A92329"/>
    <w:rsid w:val="00A97E2D"/>
    <w:rsid w:val="00AA017D"/>
    <w:rsid w:val="00AA22DD"/>
    <w:rsid w:val="00AA2418"/>
    <w:rsid w:val="00AA36C3"/>
    <w:rsid w:val="00AA4ECE"/>
    <w:rsid w:val="00AA6932"/>
    <w:rsid w:val="00AA6C9D"/>
    <w:rsid w:val="00AA78BD"/>
    <w:rsid w:val="00AB0821"/>
    <w:rsid w:val="00AB08B3"/>
    <w:rsid w:val="00AB32CB"/>
    <w:rsid w:val="00AB55B0"/>
    <w:rsid w:val="00AC03BD"/>
    <w:rsid w:val="00AC06A8"/>
    <w:rsid w:val="00AC45D1"/>
    <w:rsid w:val="00AD149E"/>
    <w:rsid w:val="00AD7FA9"/>
    <w:rsid w:val="00AE367E"/>
    <w:rsid w:val="00AF339D"/>
    <w:rsid w:val="00AF42EF"/>
    <w:rsid w:val="00AF47D0"/>
    <w:rsid w:val="00AF50D4"/>
    <w:rsid w:val="00AF6180"/>
    <w:rsid w:val="00AF6BE9"/>
    <w:rsid w:val="00AF6E91"/>
    <w:rsid w:val="00B006BC"/>
    <w:rsid w:val="00B00F82"/>
    <w:rsid w:val="00B07B0A"/>
    <w:rsid w:val="00B1527A"/>
    <w:rsid w:val="00B1685B"/>
    <w:rsid w:val="00B16E92"/>
    <w:rsid w:val="00B216B3"/>
    <w:rsid w:val="00B232FA"/>
    <w:rsid w:val="00B37A44"/>
    <w:rsid w:val="00B413B7"/>
    <w:rsid w:val="00B468F2"/>
    <w:rsid w:val="00B4713E"/>
    <w:rsid w:val="00B47295"/>
    <w:rsid w:val="00B5038C"/>
    <w:rsid w:val="00B519B7"/>
    <w:rsid w:val="00B528AB"/>
    <w:rsid w:val="00B53CCA"/>
    <w:rsid w:val="00B56B35"/>
    <w:rsid w:val="00B57B70"/>
    <w:rsid w:val="00B6036F"/>
    <w:rsid w:val="00B64466"/>
    <w:rsid w:val="00B66BBF"/>
    <w:rsid w:val="00B73651"/>
    <w:rsid w:val="00B74946"/>
    <w:rsid w:val="00B76AB7"/>
    <w:rsid w:val="00B76B3F"/>
    <w:rsid w:val="00B77111"/>
    <w:rsid w:val="00B77986"/>
    <w:rsid w:val="00B77DBB"/>
    <w:rsid w:val="00B808EB"/>
    <w:rsid w:val="00B81D28"/>
    <w:rsid w:val="00B85DB2"/>
    <w:rsid w:val="00B87755"/>
    <w:rsid w:val="00B95534"/>
    <w:rsid w:val="00B96E90"/>
    <w:rsid w:val="00BA4D37"/>
    <w:rsid w:val="00BA5DB9"/>
    <w:rsid w:val="00BA74E2"/>
    <w:rsid w:val="00BB1631"/>
    <w:rsid w:val="00BB1F21"/>
    <w:rsid w:val="00BB26C5"/>
    <w:rsid w:val="00BC3D22"/>
    <w:rsid w:val="00BD39B5"/>
    <w:rsid w:val="00BD4434"/>
    <w:rsid w:val="00BD59DF"/>
    <w:rsid w:val="00BE2A20"/>
    <w:rsid w:val="00BE2CAD"/>
    <w:rsid w:val="00BF54C3"/>
    <w:rsid w:val="00BF7032"/>
    <w:rsid w:val="00C0172E"/>
    <w:rsid w:val="00C02EE5"/>
    <w:rsid w:val="00C03F67"/>
    <w:rsid w:val="00C10F00"/>
    <w:rsid w:val="00C12A58"/>
    <w:rsid w:val="00C151E8"/>
    <w:rsid w:val="00C15686"/>
    <w:rsid w:val="00C179CB"/>
    <w:rsid w:val="00C2223C"/>
    <w:rsid w:val="00C24412"/>
    <w:rsid w:val="00C25115"/>
    <w:rsid w:val="00C27E0A"/>
    <w:rsid w:val="00C329DC"/>
    <w:rsid w:val="00C372F0"/>
    <w:rsid w:val="00C40636"/>
    <w:rsid w:val="00C466F1"/>
    <w:rsid w:val="00C46DC9"/>
    <w:rsid w:val="00C50A58"/>
    <w:rsid w:val="00C5208A"/>
    <w:rsid w:val="00C52A70"/>
    <w:rsid w:val="00C554A1"/>
    <w:rsid w:val="00C568F2"/>
    <w:rsid w:val="00C57EAD"/>
    <w:rsid w:val="00C6134D"/>
    <w:rsid w:val="00C6282C"/>
    <w:rsid w:val="00C62A1B"/>
    <w:rsid w:val="00C71E18"/>
    <w:rsid w:val="00C81BB7"/>
    <w:rsid w:val="00C81E62"/>
    <w:rsid w:val="00C83CEA"/>
    <w:rsid w:val="00C91E99"/>
    <w:rsid w:val="00C936A0"/>
    <w:rsid w:val="00C944AC"/>
    <w:rsid w:val="00CA0305"/>
    <w:rsid w:val="00CA383E"/>
    <w:rsid w:val="00CA74F6"/>
    <w:rsid w:val="00CB29E5"/>
    <w:rsid w:val="00CB5BCA"/>
    <w:rsid w:val="00CB7352"/>
    <w:rsid w:val="00CC3684"/>
    <w:rsid w:val="00CC58C2"/>
    <w:rsid w:val="00CD0025"/>
    <w:rsid w:val="00CD021F"/>
    <w:rsid w:val="00CD0D2A"/>
    <w:rsid w:val="00CD1439"/>
    <w:rsid w:val="00CD14A4"/>
    <w:rsid w:val="00CD2B01"/>
    <w:rsid w:val="00CD2E96"/>
    <w:rsid w:val="00CD3694"/>
    <w:rsid w:val="00CD516D"/>
    <w:rsid w:val="00CD5AB2"/>
    <w:rsid w:val="00CD6529"/>
    <w:rsid w:val="00CE6297"/>
    <w:rsid w:val="00CF0A7A"/>
    <w:rsid w:val="00CF22B9"/>
    <w:rsid w:val="00CF3F7B"/>
    <w:rsid w:val="00D04CF8"/>
    <w:rsid w:val="00D14868"/>
    <w:rsid w:val="00D203BC"/>
    <w:rsid w:val="00D20E63"/>
    <w:rsid w:val="00D21850"/>
    <w:rsid w:val="00D24F97"/>
    <w:rsid w:val="00D26166"/>
    <w:rsid w:val="00D26284"/>
    <w:rsid w:val="00D26760"/>
    <w:rsid w:val="00D269EC"/>
    <w:rsid w:val="00D26D4E"/>
    <w:rsid w:val="00D35100"/>
    <w:rsid w:val="00D407CB"/>
    <w:rsid w:val="00D41FED"/>
    <w:rsid w:val="00D441BC"/>
    <w:rsid w:val="00D45290"/>
    <w:rsid w:val="00D452DA"/>
    <w:rsid w:val="00D453E9"/>
    <w:rsid w:val="00D47149"/>
    <w:rsid w:val="00D52948"/>
    <w:rsid w:val="00D5536E"/>
    <w:rsid w:val="00D5597F"/>
    <w:rsid w:val="00D56256"/>
    <w:rsid w:val="00D57299"/>
    <w:rsid w:val="00D61D80"/>
    <w:rsid w:val="00D61DCD"/>
    <w:rsid w:val="00D655E3"/>
    <w:rsid w:val="00D67197"/>
    <w:rsid w:val="00D672FD"/>
    <w:rsid w:val="00D71630"/>
    <w:rsid w:val="00D71762"/>
    <w:rsid w:val="00D71B70"/>
    <w:rsid w:val="00D83A7A"/>
    <w:rsid w:val="00D86318"/>
    <w:rsid w:val="00D919A0"/>
    <w:rsid w:val="00D9222A"/>
    <w:rsid w:val="00D951E9"/>
    <w:rsid w:val="00D95345"/>
    <w:rsid w:val="00D95DF7"/>
    <w:rsid w:val="00DA0ACD"/>
    <w:rsid w:val="00DA7E7D"/>
    <w:rsid w:val="00DB3FA3"/>
    <w:rsid w:val="00DB41D1"/>
    <w:rsid w:val="00DB675E"/>
    <w:rsid w:val="00DB749D"/>
    <w:rsid w:val="00DC2140"/>
    <w:rsid w:val="00DC2B5E"/>
    <w:rsid w:val="00DD08D8"/>
    <w:rsid w:val="00DD25CC"/>
    <w:rsid w:val="00DE1068"/>
    <w:rsid w:val="00DE1383"/>
    <w:rsid w:val="00DE225E"/>
    <w:rsid w:val="00DE30D0"/>
    <w:rsid w:val="00DE6600"/>
    <w:rsid w:val="00DE714C"/>
    <w:rsid w:val="00DF4938"/>
    <w:rsid w:val="00DF5BE4"/>
    <w:rsid w:val="00E01B3B"/>
    <w:rsid w:val="00E033A8"/>
    <w:rsid w:val="00E10451"/>
    <w:rsid w:val="00E1072A"/>
    <w:rsid w:val="00E10F39"/>
    <w:rsid w:val="00E1129F"/>
    <w:rsid w:val="00E158C1"/>
    <w:rsid w:val="00E1626D"/>
    <w:rsid w:val="00E16926"/>
    <w:rsid w:val="00E20891"/>
    <w:rsid w:val="00E218A1"/>
    <w:rsid w:val="00E22187"/>
    <w:rsid w:val="00E3175A"/>
    <w:rsid w:val="00E3693B"/>
    <w:rsid w:val="00E36C7B"/>
    <w:rsid w:val="00E416B8"/>
    <w:rsid w:val="00E43DA6"/>
    <w:rsid w:val="00E440B0"/>
    <w:rsid w:val="00E47DC3"/>
    <w:rsid w:val="00E53A9C"/>
    <w:rsid w:val="00E5762A"/>
    <w:rsid w:val="00E57FC6"/>
    <w:rsid w:val="00E642D1"/>
    <w:rsid w:val="00E661E6"/>
    <w:rsid w:val="00E75434"/>
    <w:rsid w:val="00E759BA"/>
    <w:rsid w:val="00E76F19"/>
    <w:rsid w:val="00E811C2"/>
    <w:rsid w:val="00E81453"/>
    <w:rsid w:val="00E8211A"/>
    <w:rsid w:val="00E83B1D"/>
    <w:rsid w:val="00E842A2"/>
    <w:rsid w:val="00E85A08"/>
    <w:rsid w:val="00E87963"/>
    <w:rsid w:val="00E928FE"/>
    <w:rsid w:val="00E92B43"/>
    <w:rsid w:val="00EA03FB"/>
    <w:rsid w:val="00EA0574"/>
    <w:rsid w:val="00EA33CB"/>
    <w:rsid w:val="00EB0A7B"/>
    <w:rsid w:val="00EB29DB"/>
    <w:rsid w:val="00EB406D"/>
    <w:rsid w:val="00EB5338"/>
    <w:rsid w:val="00EB7FDA"/>
    <w:rsid w:val="00EC6B40"/>
    <w:rsid w:val="00EC78CA"/>
    <w:rsid w:val="00ED03C0"/>
    <w:rsid w:val="00ED25E6"/>
    <w:rsid w:val="00ED27D8"/>
    <w:rsid w:val="00ED29ED"/>
    <w:rsid w:val="00ED3DFF"/>
    <w:rsid w:val="00ED5E59"/>
    <w:rsid w:val="00ED61CE"/>
    <w:rsid w:val="00ED6B96"/>
    <w:rsid w:val="00EE0113"/>
    <w:rsid w:val="00EE3C14"/>
    <w:rsid w:val="00EF137E"/>
    <w:rsid w:val="00EF2639"/>
    <w:rsid w:val="00EF5EF2"/>
    <w:rsid w:val="00F002DE"/>
    <w:rsid w:val="00F00AF8"/>
    <w:rsid w:val="00F00AFC"/>
    <w:rsid w:val="00F06759"/>
    <w:rsid w:val="00F06B37"/>
    <w:rsid w:val="00F10E19"/>
    <w:rsid w:val="00F11042"/>
    <w:rsid w:val="00F11553"/>
    <w:rsid w:val="00F1157A"/>
    <w:rsid w:val="00F1255C"/>
    <w:rsid w:val="00F1411E"/>
    <w:rsid w:val="00F17884"/>
    <w:rsid w:val="00F21F0D"/>
    <w:rsid w:val="00F224A4"/>
    <w:rsid w:val="00F27390"/>
    <w:rsid w:val="00F27F4A"/>
    <w:rsid w:val="00F3052D"/>
    <w:rsid w:val="00F322DC"/>
    <w:rsid w:val="00F32576"/>
    <w:rsid w:val="00F34E32"/>
    <w:rsid w:val="00F34FB7"/>
    <w:rsid w:val="00F37D51"/>
    <w:rsid w:val="00F404DE"/>
    <w:rsid w:val="00F40ACE"/>
    <w:rsid w:val="00F428F0"/>
    <w:rsid w:val="00F43C60"/>
    <w:rsid w:val="00F6050D"/>
    <w:rsid w:val="00F62EA8"/>
    <w:rsid w:val="00F656D1"/>
    <w:rsid w:val="00F679BF"/>
    <w:rsid w:val="00F74EE0"/>
    <w:rsid w:val="00F76599"/>
    <w:rsid w:val="00F76925"/>
    <w:rsid w:val="00F77301"/>
    <w:rsid w:val="00F775CF"/>
    <w:rsid w:val="00F80E92"/>
    <w:rsid w:val="00F816FB"/>
    <w:rsid w:val="00F81B28"/>
    <w:rsid w:val="00F847A8"/>
    <w:rsid w:val="00F85305"/>
    <w:rsid w:val="00F8538A"/>
    <w:rsid w:val="00F916CF"/>
    <w:rsid w:val="00F924B1"/>
    <w:rsid w:val="00F953BE"/>
    <w:rsid w:val="00FA0D86"/>
    <w:rsid w:val="00FA173E"/>
    <w:rsid w:val="00FA1994"/>
    <w:rsid w:val="00FA26A5"/>
    <w:rsid w:val="00FA619A"/>
    <w:rsid w:val="00FB29DF"/>
    <w:rsid w:val="00FB3A6B"/>
    <w:rsid w:val="00FB57F1"/>
    <w:rsid w:val="00FB589F"/>
    <w:rsid w:val="00FB5921"/>
    <w:rsid w:val="00FB75E8"/>
    <w:rsid w:val="00FC10B1"/>
    <w:rsid w:val="00FC2175"/>
    <w:rsid w:val="00FC4C59"/>
    <w:rsid w:val="00FD270B"/>
    <w:rsid w:val="00FD4414"/>
    <w:rsid w:val="00FD45C1"/>
    <w:rsid w:val="00FD5268"/>
    <w:rsid w:val="00FE2E0E"/>
    <w:rsid w:val="00FE2EAB"/>
    <w:rsid w:val="00FE38E1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A042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42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2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A042E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4A5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A042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42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2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A042E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4A5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mi-vp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n_v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E39E-F559-458E-B4AE-8A98B8B1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ВЯТСКОПОЛЯНСКОГО РАЙОНА</vt:lpstr>
    </vt:vector>
  </TitlesOfParts>
  <Company>2</Company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ВЯТСКОПОЛЯНСКОГО РАЙОНА</dc:title>
  <dc:creator>1</dc:creator>
  <cp:lastModifiedBy>Voronchihina</cp:lastModifiedBy>
  <cp:revision>6</cp:revision>
  <cp:lastPrinted>2017-08-10T11:42:00Z</cp:lastPrinted>
  <dcterms:created xsi:type="dcterms:W3CDTF">2019-10-03T11:43:00Z</dcterms:created>
  <dcterms:modified xsi:type="dcterms:W3CDTF">2019-10-07T07:09:00Z</dcterms:modified>
</cp:coreProperties>
</file>