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3" w:rsidRDefault="00CD1095" w:rsidP="006C72D0">
      <w:pPr>
        <w:autoSpaceDE w:val="0"/>
        <w:autoSpaceDN w:val="0"/>
        <w:adjustRightInd w:val="0"/>
        <w:ind w:firstLine="902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Акт</w:t>
      </w:r>
    </w:p>
    <w:p w:rsidR="00E429A3" w:rsidRDefault="00E429A3" w:rsidP="006C72D0">
      <w:pPr>
        <w:autoSpaceDE w:val="0"/>
        <w:autoSpaceDN w:val="0"/>
        <w:adjustRightInd w:val="0"/>
        <w:ind w:firstLine="902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 результатах проведенного экспертно-аналитического мероприятия «Анализ </w:t>
      </w:r>
      <w:r w:rsidR="00CD1095">
        <w:rPr>
          <w:rFonts w:ascii="Times New Roman CYR" w:hAnsi="Times New Roman CYR" w:cs="Times New Roman CYR"/>
          <w:b/>
          <w:bCs/>
        </w:rPr>
        <w:t xml:space="preserve">реализации планов мероприятий по повышению поступлений налоговых и </w:t>
      </w:r>
      <w:r>
        <w:rPr>
          <w:rFonts w:ascii="Times New Roman CYR" w:hAnsi="Times New Roman CYR" w:cs="Times New Roman CYR"/>
          <w:b/>
          <w:bCs/>
        </w:rPr>
        <w:t xml:space="preserve"> неналоговых доходов</w:t>
      </w:r>
      <w:r w:rsidR="00CD1095">
        <w:rPr>
          <w:rFonts w:ascii="Times New Roman CYR" w:hAnsi="Times New Roman CYR" w:cs="Times New Roman CYR"/>
          <w:b/>
          <w:bCs/>
        </w:rPr>
        <w:t>, а также по сокращению недоимки бюджет</w:t>
      </w:r>
      <w:r w:rsidR="002229E0">
        <w:rPr>
          <w:rFonts w:ascii="Times New Roman CYR" w:hAnsi="Times New Roman CYR" w:cs="Times New Roman CYR"/>
          <w:b/>
          <w:bCs/>
        </w:rPr>
        <w:t>а</w:t>
      </w:r>
      <w:r w:rsidR="00CD1095">
        <w:rPr>
          <w:rFonts w:ascii="Times New Roman CYR" w:hAnsi="Times New Roman CYR" w:cs="Times New Roman CYR"/>
          <w:b/>
          <w:bCs/>
        </w:rPr>
        <w:t xml:space="preserve"> </w:t>
      </w:r>
      <w:r w:rsidR="002229E0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CD1095">
        <w:rPr>
          <w:rFonts w:ascii="Times New Roman CYR" w:hAnsi="Times New Roman CYR" w:cs="Times New Roman CYR"/>
          <w:b/>
          <w:bCs/>
        </w:rPr>
        <w:t>Вятскополянского района в 201</w:t>
      </w:r>
      <w:r w:rsidR="002229E0">
        <w:rPr>
          <w:rFonts w:ascii="Times New Roman CYR" w:hAnsi="Times New Roman CYR" w:cs="Times New Roman CYR"/>
          <w:b/>
          <w:bCs/>
        </w:rPr>
        <w:t>5</w:t>
      </w:r>
      <w:r w:rsidR="00CD1095">
        <w:rPr>
          <w:rFonts w:ascii="Times New Roman CYR" w:hAnsi="Times New Roman CYR" w:cs="Times New Roman CYR"/>
          <w:b/>
          <w:bCs/>
        </w:rPr>
        <w:t>-201</w:t>
      </w:r>
      <w:r w:rsidR="002229E0">
        <w:rPr>
          <w:rFonts w:ascii="Times New Roman CYR" w:hAnsi="Times New Roman CYR" w:cs="Times New Roman CYR"/>
          <w:b/>
          <w:bCs/>
        </w:rPr>
        <w:t>6</w:t>
      </w:r>
      <w:r w:rsidR="00CD1095">
        <w:rPr>
          <w:rFonts w:ascii="Times New Roman CYR" w:hAnsi="Times New Roman CYR" w:cs="Times New Roman CYR"/>
          <w:b/>
          <w:bCs/>
        </w:rPr>
        <w:t xml:space="preserve"> годах</w:t>
      </w:r>
      <w:r>
        <w:rPr>
          <w:rFonts w:ascii="Times New Roman CYR" w:hAnsi="Times New Roman CYR" w:cs="Times New Roman CYR"/>
          <w:b/>
          <w:bCs/>
        </w:rPr>
        <w:t>».</w:t>
      </w:r>
    </w:p>
    <w:p w:rsidR="00EC759C" w:rsidRDefault="00EC759C" w:rsidP="00EC759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</w:p>
    <w:p w:rsidR="00EC759C" w:rsidRDefault="00EC759C" w:rsidP="00EC759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</w:rPr>
      </w:pPr>
      <w:r w:rsidRPr="00EC759C">
        <w:rPr>
          <w:rFonts w:ascii="Times New Roman CYR" w:hAnsi="Times New Roman CYR" w:cs="Times New Roman CYR"/>
          <w:bCs/>
        </w:rPr>
        <w:t xml:space="preserve">г. Вятские Поляны                                                                             </w:t>
      </w:r>
      <w:r w:rsidR="00CD1095">
        <w:rPr>
          <w:rFonts w:ascii="Times New Roman CYR" w:hAnsi="Times New Roman CYR" w:cs="Times New Roman CYR"/>
          <w:bCs/>
        </w:rPr>
        <w:t xml:space="preserve">       </w:t>
      </w:r>
      <w:r w:rsidRPr="00EC759C">
        <w:rPr>
          <w:rFonts w:ascii="Times New Roman CYR" w:hAnsi="Times New Roman CYR" w:cs="Times New Roman CYR"/>
          <w:bCs/>
        </w:rPr>
        <w:t xml:space="preserve"> </w:t>
      </w:r>
      <w:r w:rsidR="002229E0">
        <w:rPr>
          <w:rFonts w:ascii="Times New Roman CYR" w:hAnsi="Times New Roman CYR" w:cs="Times New Roman CYR"/>
          <w:bCs/>
        </w:rPr>
        <w:t>06</w:t>
      </w:r>
      <w:r w:rsidRPr="00EC759C">
        <w:rPr>
          <w:rFonts w:ascii="Times New Roman CYR" w:hAnsi="Times New Roman CYR" w:cs="Times New Roman CYR"/>
          <w:bCs/>
        </w:rPr>
        <w:t>.0</w:t>
      </w:r>
      <w:r w:rsidR="002229E0">
        <w:rPr>
          <w:rFonts w:ascii="Times New Roman CYR" w:hAnsi="Times New Roman CYR" w:cs="Times New Roman CYR"/>
          <w:bCs/>
        </w:rPr>
        <w:t>2</w:t>
      </w:r>
      <w:r w:rsidRPr="00EC759C">
        <w:rPr>
          <w:rFonts w:ascii="Times New Roman CYR" w:hAnsi="Times New Roman CYR" w:cs="Times New Roman CYR"/>
          <w:bCs/>
        </w:rPr>
        <w:t>.201</w:t>
      </w:r>
      <w:r w:rsidR="002229E0">
        <w:rPr>
          <w:rFonts w:ascii="Times New Roman CYR" w:hAnsi="Times New Roman CYR" w:cs="Times New Roman CYR"/>
          <w:bCs/>
        </w:rPr>
        <w:t>7</w:t>
      </w:r>
      <w:r w:rsidRPr="00EC759C">
        <w:rPr>
          <w:rFonts w:ascii="Times New Roman CYR" w:hAnsi="Times New Roman CYR" w:cs="Times New Roman CYR"/>
          <w:bCs/>
        </w:rPr>
        <w:t xml:space="preserve"> г.</w:t>
      </w:r>
    </w:p>
    <w:p w:rsidR="00EC759C" w:rsidRPr="00EC759C" w:rsidRDefault="00EC759C" w:rsidP="00EC759C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</w:rPr>
      </w:pPr>
    </w:p>
    <w:p w:rsidR="00E429A3" w:rsidRDefault="00E429A3" w:rsidP="00E429A3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Cs/>
        </w:rPr>
        <w:t xml:space="preserve">В соответствии с </w:t>
      </w:r>
      <w:r w:rsidR="00CD1095">
        <w:rPr>
          <w:rFonts w:ascii="Times New Roman CYR" w:hAnsi="Times New Roman CYR" w:cs="Times New Roman CYR"/>
          <w:bCs/>
        </w:rPr>
        <w:t xml:space="preserve">п. </w:t>
      </w:r>
      <w:r w:rsidR="002229E0">
        <w:rPr>
          <w:rFonts w:ascii="Times New Roman CYR" w:hAnsi="Times New Roman CYR" w:cs="Times New Roman CYR"/>
          <w:bCs/>
        </w:rPr>
        <w:t>3.2</w:t>
      </w:r>
      <w:r w:rsidR="00CD1095">
        <w:rPr>
          <w:rFonts w:ascii="Times New Roman CYR" w:hAnsi="Times New Roman CYR" w:cs="Times New Roman CYR"/>
          <w:bCs/>
        </w:rPr>
        <w:t xml:space="preserve">. </w:t>
      </w:r>
      <w:r>
        <w:rPr>
          <w:rFonts w:ascii="Times New Roman CYR" w:hAnsi="Times New Roman CYR" w:cs="Times New Roman CYR"/>
          <w:bCs/>
        </w:rPr>
        <w:t>план</w:t>
      </w:r>
      <w:r w:rsidR="00CD1095">
        <w:rPr>
          <w:rFonts w:ascii="Times New Roman CYR" w:hAnsi="Times New Roman CYR" w:cs="Times New Roman CYR"/>
          <w:bCs/>
        </w:rPr>
        <w:t>а</w:t>
      </w:r>
      <w:r>
        <w:rPr>
          <w:rFonts w:ascii="Times New Roman CYR" w:hAnsi="Times New Roman CYR" w:cs="Times New Roman CYR"/>
          <w:bCs/>
        </w:rPr>
        <w:t xml:space="preserve"> работы контрольно-счетной комиссии Вятскополянского района на 201</w:t>
      </w:r>
      <w:r w:rsidR="002229E0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год, утвержденным </w:t>
      </w:r>
      <w:r w:rsidR="00CD1095">
        <w:rPr>
          <w:rFonts w:ascii="Times New Roman CYR" w:hAnsi="Times New Roman CYR" w:cs="Times New Roman CYR"/>
          <w:bCs/>
        </w:rPr>
        <w:t xml:space="preserve">распоряжением КСК </w:t>
      </w:r>
      <w:r>
        <w:rPr>
          <w:rFonts w:ascii="Times New Roman CYR" w:hAnsi="Times New Roman CYR" w:cs="Times New Roman CYR"/>
          <w:bCs/>
        </w:rPr>
        <w:t xml:space="preserve">№ </w:t>
      </w:r>
      <w:r w:rsidR="00CD1095">
        <w:rPr>
          <w:rFonts w:ascii="Times New Roman CYR" w:hAnsi="Times New Roman CYR" w:cs="Times New Roman CYR"/>
          <w:bCs/>
        </w:rPr>
        <w:t>3</w:t>
      </w:r>
      <w:r w:rsidR="002229E0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от 2</w:t>
      </w:r>
      <w:r w:rsidR="002229E0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>.12.20</w:t>
      </w:r>
      <w:r w:rsidR="00CD1095">
        <w:rPr>
          <w:rFonts w:ascii="Times New Roman CYR" w:hAnsi="Times New Roman CYR" w:cs="Times New Roman CYR"/>
          <w:bCs/>
        </w:rPr>
        <w:t>1</w:t>
      </w:r>
      <w:r w:rsidR="002229E0">
        <w:rPr>
          <w:rFonts w:ascii="Times New Roman CYR" w:hAnsi="Times New Roman CYR" w:cs="Times New Roman CYR"/>
          <w:bCs/>
        </w:rPr>
        <w:t>6</w:t>
      </w:r>
      <w:r>
        <w:rPr>
          <w:rFonts w:ascii="Times New Roman CYR" w:hAnsi="Times New Roman CYR" w:cs="Times New Roman CYR"/>
          <w:bCs/>
        </w:rPr>
        <w:t xml:space="preserve"> г. </w:t>
      </w:r>
      <w:r w:rsidR="00CD1095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консультантом контрольно-счетной комиссии Одинцевой С.Э. </w:t>
      </w:r>
      <w:r w:rsidR="00CD1095">
        <w:rPr>
          <w:rFonts w:ascii="Times New Roman CYR" w:hAnsi="Times New Roman CYR" w:cs="Times New Roman CYR"/>
          <w:bCs/>
        </w:rPr>
        <w:t>и старшим экспертом контрольно-счетной комиссии Соловь</w:t>
      </w:r>
      <w:r w:rsidR="002229E0">
        <w:rPr>
          <w:rFonts w:ascii="Times New Roman CYR" w:hAnsi="Times New Roman CYR" w:cs="Times New Roman CYR"/>
          <w:bCs/>
        </w:rPr>
        <w:t>ё</w:t>
      </w:r>
      <w:r w:rsidR="00CD1095">
        <w:rPr>
          <w:rFonts w:ascii="Times New Roman CYR" w:hAnsi="Times New Roman CYR" w:cs="Times New Roman CYR"/>
          <w:bCs/>
        </w:rPr>
        <w:t xml:space="preserve">вой И.Г. </w:t>
      </w:r>
      <w:r>
        <w:rPr>
          <w:rFonts w:ascii="Times New Roman CYR" w:hAnsi="Times New Roman CYR" w:cs="Times New Roman CYR"/>
          <w:bCs/>
        </w:rPr>
        <w:t>было проведено экспертно-аналитическое меропри</w:t>
      </w:r>
      <w:r w:rsidR="009149CE">
        <w:rPr>
          <w:rFonts w:ascii="Times New Roman CYR" w:hAnsi="Times New Roman CYR" w:cs="Times New Roman CYR"/>
          <w:bCs/>
        </w:rPr>
        <w:t xml:space="preserve">ятие по анализу </w:t>
      </w:r>
      <w:r w:rsidR="00CD1095">
        <w:rPr>
          <w:rFonts w:ascii="Times New Roman CYR" w:hAnsi="Times New Roman CYR" w:cs="Times New Roman CYR"/>
          <w:bCs/>
        </w:rPr>
        <w:t xml:space="preserve"> реализации планов мероприятий по повышению поступлений налоговых и неналоговых доходов, а также по сокращению недоимки бюджетов бюджетной системы РФ</w:t>
      </w:r>
      <w:proofErr w:type="gramEnd"/>
      <w:r w:rsidR="00CD1095">
        <w:rPr>
          <w:rFonts w:ascii="Times New Roman CYR" w:hAnsi="Times New Roman CYR" w:cs="Times New Roman CYR"/>
          <w:bCs/>
        </w:rPr>
        <w:t xml:space="preserve"> на территории Вятскополянского района в 201</w:t>
      </w:r>
      <w:r w:rsidR="002229E0">
        <w:rPr>
          <w:rFonts w:ascii="Times New Roman CYR" w:hAnsi="Times New Roman CYR" w:cs="Times New Roman CYR"/>
          <w:bCs/>
        </w:rPr>
        <w:t>5</w:t>
      </w:r>
      <w:r w:rsidR="00CD1095">
        <w:rPr>
          <w:rFonts w:ascii="Times New Roman CYR" w:hAnsi="Times New Roman CYR" w:cs="Times New Roman CYR"/>
          <w:bCs/>
        </w:rPr>
        <w:t>-201</w:t>
      </w:r>
      <w:r w:rsidR="002229E0">
        <w:rPr>
          <w:rFonts w:ascii="Times New Roman CYR" w:hAnsi="Times New Roman CYR" w:cs="Times New Roman CYR"/>
          <w:bCs/>
        </w:rPr>
        <w:t>6</w:t>
      </w:r>
      <w:r w:rsidR="00CD1095">
        <w:rPr>
          <w:rFonts w:ascii="Times New Roman CYR" w:hAnsi="Times New Roman CYR" w:cs="Times New Roman CYR"/>
          <w:bCs/>
        </w:rPr>
        <w:t xml:space="preserve"> годах.</w:t>
      </w:r>
    </w:p>
    <w:p w:rsidR="009149CE" w:rsidRDefault="009149CE" w:rsidP="00E429A3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Проверка начата </w:t>
      </w:r>
      <w:r w:rsidR="002229E0">
        <w:rPr>
          <w:rFonts w:ascii="Times New Roman CYR" w:hAnsi="Times New Roman CYR" w:cs="Times New Roman CYR"/>
          <w:bCs/>
        </w:rPr>
        <w:t>20</w:t>
      </w:r>
      <w:r w:rsidR="00CD1095">
        <w:rPr>
          <w:rFonts w:ascii="Times New Roman CYR" w:hAnsi="Times New Roman CYR" w:cs="Times New Roman CYR"/>
          <w:bCs/>
        </w:rPr>
        <w:t xml:space="preserve"> </w:t>
      </w:r>
      <w:r w:rsidR="002229E0">
        <w:rPr>
          <w:rFonts w:ascii="Times New Roman CYR" w:hAnsi="Times New Roman CYR" w:cs="Times New Roman CYR"/>
          <w:bCs/>
        </w:rPr>
        <w:t>январ</w:t>
      </w:r>
      <w:r w:rsidR="00CD1095">
        <w:rPr>
          <w:rFonts w:ascii="Times New Roman CYR" w:hAnsi="Times New Roman CYR" w:cs="Times New Roman CYR"/>
          <w:bCs/>
        </w:rPr>
        <w:t>я</w:t>
      </w:r>
      <w:r>
        <w:rPr>
          <w:rFonts w:ascii="Times New Roman CYR" w:hAnsi="Times New Roman CYR" w:cs="Times New Roman CYR"/>
          <w:bCs/>
        </w:rPr>
        <w:t xml:space="preserve"> и закончена </w:t>
      </w:r>
      <w:r w:rsidR="002229E0">
        <w:rPr>
          <w:rFonts w:ascii="Times New Roman CYR" w:hAnsi="Times New Roman CYR" w:cs="Times New Roman CYR"/>
          <w:bCs/>
        </w:rPr>
        <w:t>06 февраля</w:t>
      </w:r>
      <w:r>
        <w:rPr>
          <w:rFonts w:ascii="Times New Roman CYR" w:hAnsi="Times New Roman CYR" w:cs="Times New Roman CYR"/>
          <w:bCs/>
        </w:rPr>
        <w:t xml:space="preserve"> 201</w:t>
      </w:r>
      <w:r w:rsidR="002229E0">
        <w:rPr>
          <w:rFonts w:ascii="Times New Roman CYR" w:hAnsi="Times New Roman CYR" w:cs="Times New Roman CYR"/>
          <w:bCs/>
        </w:rPr>
        <w:t>7</w:t>
      </w:r>
      <w:r>
        <w:rPr>
          <w:rFonts w:ascii="Times New Roman CYR" w:hAnsi="Times New Roman CYR" w:cs="Times New Roman CYR"/>
          <w:bCs/>
        </w:rPr>
        <w:t xml:space="preserve"> года.</w:t>
      </w:r>
    </w:p>
    <w:p w:rsidR="009149CE" w:rsidRDefault="009149CE" w:rsidP="009149CE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Целью контрольного мероприятия служит анализ  и оценка </w:t>
      </w:r>
      <w:r w:rsidR="00CD1095">
        <w:rPr>
          <w:rFonts w:ascii="Times New Roman CYR" w:hAnsi="Times New Roman CYR" w:cs="Times New Roman CYR"/>
          <w:bCs/>
        </w:rPr>
        <w:t xml:space="preserve"> эффективности реализации планов мероприятий по повышению поступлений   доходов, а также сокращению недоимки бюджетов, анализ проблем исполнения местн</w:t>
      </w:r>
      <w:r w:rsidR="002229E0">
        <w:rPr>
          <w:rFonts w:ascii="Times New Roman CYR" w:hAnsi="Times New Roman CYR" w:cs="Times New Roman CYR"/>
          <w:bCs/>
        </w:rPr>
        <w:t>ого</w:t>
      </w:r>
      <w:r w:rsidR="00CD1095">
        <w:rPr>
          <w:rFonts w:ascii="Times New Roman CYR" w:hAnsi="Times New Roman CYR" w:cs="Times New Roman CYR"/>
          <w:bCs/>
        </w:rPr>
        <w:t xml:space="preserve"> бюджет</w:t>
      </w:r>
      <w:r w:rsidR="002229E0">
        <w:rPr>
          <w:rFonts w:ascii="Times New Roman CYR" w:hAnsi="Times New Roman CYR" w:cs="Times New Roman CYR"/>
          <w:bCs/>
        </w:rPr>
        <w:t>а</w:t>
      </w:r>
      <w:r w:rsidR="00CD1095">
        <w:rPr>
          <w:rFonts w:ascii="Times New Roman CYR" w:hAnsi="Times New Roman CYR" w:cs="Times New Roman CYR"/>
          <w:bCs/>
        </w:rPr>
        <w:t>.</w:t>
      </w:r>
    </w:p>
    <w:p w:rsidR="00123EF6" w:rsidRDefault="00123EF6" w:rsidP="00E429A3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</w:p>
    <w:p w:rsidR="009149CE" w:rsidRDefault="00123EF6" w:rsidP="008A3C63">
      <w:pPr>
        <w:autoSpaceDE w:val="0"/>
        <w:autoSpaceDN w:val="0"/>
        <w:adjustRightInd w:val="0"/>
        <w:ind w:firstLine="902"/>
        <w:contextualSpacing/>
        <w:jc w:val="center"/>
        <w:rPr>
          <w:rFonts w:ascii="Times New Roman CYR" w:hAnsi="Times New Roman CYR" w:cs="Times New Roman CYR"/>
          <w:b/>
        </w:rPr>
      </w:pPr>
      <w:r w:rsidRPr="00123EF6">
        <w:rPr>
          <w:rFonts w:ascii="Times New Roman CYR" w:hAnsi="Times New Roman CYR" w:cs="Times New Roman CYR"/>
          <w:b/>
        </w:rPr>
        <w:t>Анализ</w:t>
      </w:r>
      <w:r>
        <w:rPr>
          <w:rFonts w:ascii="Times New Roman CYR" w:hAnsi="Times New Roman CYR" w:cs="Times New Roman CYR"/>
          <w:b/>
        </w:rPr>
        <w:t xml:space="preserve"> нормативных правовых актов муниципального уровня, программ социально-экономического развития муниципального образования, других программных документов по повышению поступлений налоговых и неналоговых доходов, соглашений, протоколов и пр., регулирующих вопросы в сфере повышения доходов местного бюджета.</w:t>
      </w:r>
    </w:p>
    <w:p w:rsidR="00123EF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</w:p>
    <w:p w:rsidR="00123EF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Одним из документов, регулирующих вопросы повышения доходов местного бюджета, являются «Основные направления бюджетной и налоговой политики муниципального образования Вятскополянский муниципальный район Кировской области на 2015 год и на плановый период 2016-2017 годов». </w:t>
      </w:r>
      <w:proofErr w:type="gramStart"/>
      <w:r>
        <w:rPr>
          <w:rFonts w:ascii="Times New Roman CYR" w:hAnsi="Times New Roman CYR" w:cs="Times New Roman CYR"/>
        </w:rPr>
        <w:t>Главными задачами налоговой политики в документе  определены:</w:t>
      </w:r>
      <w:proofErr w:type="gramEnd"/>
    </w:p>
    <w:p w:rsidR="00123EF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укрепление доходной базы;</w:t>
      </w:r>
    </w:p>
    <w:p w:rsidR="00123EF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привлечение к налогообложению неучтенные объекты недвижимости и земельные участки;</w:t>
      </w:r>
    </w:p>
    <w:p w:rsidR="00123EF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выявление скрытых от налогообложения доходов;</w:t>
      </w:r>
    </w:p>
    <w:p w:rsidR="0099198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снижение задолженности по платежам в б</w:t>
      </w:r>
      <w:r w:rsidR="00650CD7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>джет.</w:t>
      </w:r>
    </w:p>
    <w:p w:rsidR="00711E14" w:rsidRDefault="00711E14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мобилизации собственных доходных источников в течение 2015-2017 годов необходимо продолжить следующую работу:</w:t>
      </w:r>
    </w:p>
    <w:p w:rsidR="00123EF6" w:rsidRPr="00711E14" w:rsidRDefault="00123EF6" w:rsidP="00711E1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 CYR" w:hAnsi="Times New Roman CYR" w:cs="Times New Roman CYR"/>
        </w:rPr>
      </w:pPr>
      <w:r w:rsidRPr="00711E14">
        <w:rPr>
          <w:rFonts w:ascii="Times New Roman CYR" w:hAnsi="Times New Roman CYR" w:cs="Times New Roman CYR"/>
        </w:rPr>
        <w:lastRenderedPageBreak/>
        <w:t xml:space="preserve"> </w:t>
      </w:r>
      <w:r w:rsidR="00711E14" w:rsidRPr="00711E14">
        <w:rPr>
          <w:rFonts w:ascii="Times New Roman CYR" w:hAnsi="Times New Roman CYR" w:cs="Times New Roman CYR"/>
        </w:rPr>
        <w:t>с предприятиями, выплачивающими низкую заработную плату работникам;</w:t>
      </w:r>
    </w:p>
    <w:p w:rsidR="00711E14" w:rsidRPr="00711E14" w:rsidRDefault="00711E14" w:rsidP="00711E1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 CYR" w:hAnsi="Times New Roman CYR" w:cs="Times New Roman CYR"/>
        </w:rPr>
      </w:pPr>
      <w:r w:rsidRPr="00711E14">
        <w:rPr>
          <w:rFonts w:ascii="Times New Roman CYR" w:hAnsi="Times New Roman CYR" w:cs="Times New Roman CYR"/>
        </w:rPr>
        <w:t>по выявлению лиц, занимающихся незаконной предпринимательской деятельностью, не зарегистрированных в качестве индивидуальных предпринимателей;</w:t>
      </w:r>
    </w:p>
    <w:p w:rsidR="00711E14" w:rsidRPr="00711E14" w:rsidRDefault="00711E14" w:rsidP="00711E1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о</w:t>
      </w:r>
      <w:r w:rsidRPr="00711E14">
        <w:rPr>
          <w:rFonts w:ascii="Times New Roman CYR" w:hAnsi="Times New Roman CYR" w:cs="Times New Roman CYR"/>
        </w:rPr>
        <w:t>казывать содействие в регистрации права собственности на объекты недвижимости и земельные участки;</w:t>
      </w:r>
    </w:p>
    <w:p w:rsidR="00711E14" w:rsidRPr="00711E14" w:rsidRDefault="00711E14" w:rsidP="00711E14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2" w:firstLine="4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Проведение своевременной </w:t>
      </w:r>
      <w:proofErr w:type="spellStart"/>
      <w:r>
        <w:rPr>
          <w:rFonts w:ascii="Times New Roman CYR" w:hAnsi="Times New Roman CYR" w:cs="Times New Roman CYR"/>
        </w:rPr>
        <w:t>претензионно-исковой</w:t>
      </w:r>
      <w:proofErr w:type="spellEnd"/>
      <w:r>
        <w:rPr>
          <w:rFonts w:ascii="Times New Roman CYR" w:hAnsi="Times New Roman CYR" w:cs="Times New Roman CYR"/>
        </w:rPr>
        <w:t xml:space="preserve"> работы с неплательщиками и осуществление мер принудительного взыскания</w:t>
      </w:r>
      <w:r w:rsidR="00A1449C">
        <w:rPr>
          <w:rFonts w:ascii="Times New Roman CYR" w:hAnsi="Times New Roman CYR" w:cs="Times New Roman CYR"/>
        </w:rPr>
        <w:t xml:space="preserve"> задолженности</w:t>
      </w:r>
      <w:r>
        <w:rPr>
          <w:rFonts w:ascii="Times New Roman CYR" w:hAnsi="Times New Roman CYR" w:cs="Times New Roman CYR"/>
        </w:rPr>
        <w:t xml:space="preserve">. </w:t>
      </w:r>
    </w:p>
    <w:p w:rsidR="00C73479" w:rsidRDefault="00C73479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</w:p>
    <w:p w:rsidR="00123EF6" w:rsidRDefault="00235EE0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Также Вятскополянский район заключил соглашение </w:t>
      </w:r>
      <w:r w:rsidR="00E03A99">
        <w:rPr>
          <w:rFonts w:ascii="Times New Roman CYR" w:hAnsi="Times New Roman CYR" w:cs="Times New Roman CYR"/>
        </w:rPr>
        <w:t>от 30.03.2015 года с департаментом финансов Кировской области о</w:t>
      </w:r>
      <w:r>
        <w:rPr>
          <w:rFonts w:ascii="Times New Roman CYR" w:hAnsi="Times New Roman CYR" w:cs="Times New Roman CYR"/>
        </w:rPr>
        <w:t xml:space="preserve"> выполнени</w:t>
      </w:r>
      <w:r w:rsidR="00E03A99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 трех мероприятий</w:t>
      </w:r>
      <w:r w:rsidR="00E03A99">
        <w:rPr>
          <w:rFonts w:ascii="Times New Roman CYR" w:hAnsi="Times New Roman CYR" w:cs="Times New Roman CYR"/>
        </w:rPr>
        <w:t xml:space="preserve"> по увеличению поступлений доходов </w:t>
      </w:r>
      <w:proofErr w:type="gramStart"/>
      <w:r w:rsidR="00E03A99">
        <w:rPr>
          <w:rFonts w:ascii="Times New Roman CYR" w:hAnsi="Times New Roman CYR" w:cs="Times New Roman CYR"/>
        </w:rPr>
        <w:t>в</w:t>
      </w:r>
      <w:proofErr w:type="gramEnd"/>
      <w:r w:rsidR="00E03A99">
        <w:rPr>
          <w:rFonts w:ascii="Times New Roman CYR" w:hAnsi="Times New Roman CYR" w:cs="Times New Roman CYR"/>
        </w:rPr>
        <w:t xml:space="preserve"> </w:t>
      </w:r>
      <w:proofErr w:type="gramStart"/>
      <w:r w:rsidR="00E03A99">
        <w:rPr>
          <w:rFonts w:ascii="Times New Roman CYR" w:hAnsi="Times New Roman CYR" w:cs="Times New Roman CYR"/>
        </w:rPr>
        <w:t>областной</w:t>
      </w:r>
      <w:proofErr w:type="gramEnd"/>
      <w:r w:rsidR="00E03A99">
        <w:rPr>
          <w:rFonts w:ascii="Times New Roman CYR" w:hAnsi="Times New Roman CYR" w:cs="Times New Roman CYR"/>
        </w:rPr>
        <w:t xml:space="preserve"> и местный бюджеты</w:t>
      </w:r>
      <w:r>
        <w:rPr>
          <w:rFonts w:ascii="Times New Roman CYR" w:hAnsi="Times New Roman CYR" w:cs="Times New Roman CYR"/>
        </w:rPr>
        <w:t>:</w:t>
      </w:r>
    </w:p>
    <w:p w:rsidR="00235EE0" w:rsidRDefault="00235EE0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легализация налоговой базы по налогу на доходы физических лиц;</w:t>
      </w:r>
    </w:p>
    <w:p w:rsidR="00235EE0" w:rsidRDefault="00235EE0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992108">
        <w:rPr>
          <w:rFonts w:ascii="Times New Roman CYR" w:hAnsi="Times New Roman CYR" w:cs="Times New Roman CYR"/>
        </w:rPr>
        <w:t>проведение работы по вовлечению в налоговый оборот объектов недвижимого имущества физических лиц, включая земельные участки</w:t>
      </w:r>
      <w:r>
        <w:rPr>
          <w:rFonts w:ascii="Times New Roman CYR" w:hAnsi="Times New Roman CYR" w:cs="Times New Roman CYR"/>
        </w:rPr>
        <w:t>;</w:t>
      </w:r>
    </w:p>
    <w:p w:rsidR="00235EE0" w:rsidRDefault="00235EE0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замещение ввозимой из других субъектов РФ алкогольной продукции </w:t>
      </w:r>
      <w:r w:rsidR="00992108">
        <w:rPr>
          <w:rFonts w:ascii="Times New Roman CYR" w:hAnsi="Times New Roman CYR" w:cs="Times New Roman CYR"/>
        </w:rPr>
        <w:t xml:space="preserve">и </w:t>
      </w:r>
      <w:r>
        <w:rPr>
          <w:rFonts w:ascii="Times New Roman CYR" w:hAnsi="Times New Roman CYR" w:cs="Times New Roman CYR"/>
        </w:rPr>
        <w:t>пива</w:t>
      </w:r>
      <w:r w:rsidR="0099210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продукцией местных производителей.</w:t>
      </w:r>
    </w:p>
    <w:p w:rsidR="00E44C5C" w:rsidRDefault="00E44C5C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проекте доходной части бюджета Вятскополянского района на 2015 год </w:t>
      </w:r>
      <w:proofErr w:type="gramStart"/>
      <w:r w:rsidR="008274E7">
        <w:rPr>
          <w:rFonts w:ascii="Times New Roman CYR" w:hAnsi="Times New Roman CYR" w:cs="Times New Roman CYR"/>
        </w:rPr>
        <w:t>предусмотрена</w:t>
      </w:r>
      <w:proofErr w:type="gramEnd"/>
      <w:r w:rsidR="008274E7">
        <w:rPr>
          <w:rFonts w:ascii="Times New Roman CYR" w:hAnsi="Times New Roman CYR" w:cs="Times New Roman CYR"/>
        </w:rPr>
        <w:t xml:space="preserve"> </w:t>
      </w:r>
      <w:r w:rsidR="00D62059">
        <w:rPr>
          <w:rFonts w:ascii="Times New Roman CYR" w:hAnsi="Times New Roman CYR" w:cs="Times New Roman CYR"/>
        </w:rPr>
        <w:t xml:space="preserve">получение </w:t>
      </w:r>
      <w:r w:rsidR="008274E7">
        <w:rPr>
          <w:rFonts w:ascii="Times New Roman CYR" w:hAnsi="Times New Roman CYR" w:cs="Times New Roman CYR"/>
        </w:rPr>
        <w:t>недоимк</w:t>
      </w:r>
      <w:r w:rsidR="00D62059">
        <w:rPr>
          <w:rFonts w:ascii="Times New Roman CYR" w:hAnsi="Times New Roman CYR" w:cs="Times New Roman CYR"/>
        </w:rPr>
        <w:t>и</w:t>
      </w:r>
      <w:r w:rsidR="008274E7">
        <w:rPr>
          <w:rFonts w:ascii="Times New Roman CYR" w:hAnsi="Times New Roman CYR" w:cs="Times New Roman CYR"/>
        </w:rPr>
        <w:t xml:space="preserve"> в сумме 150,2 тыс. руб. по налогу, взимаемому в связи с применением упрощенной системы налогообложения, и в сумме 156,2 тыс. руб. по налогу на имущество организаций.</w:t>
      </w:r>
    </w:p>
    <w:p w:rsidR="008274E7" w:rsidRDefault="00B4495F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расчете прогноза доходной части бюджета на 2016 год также предусматривалось получение  недоимки по платежам в сумме 150,2 тыс. руб., в том числе:</w:t>
      </w:r>
    </w:p>
    <w:p w:rsidR="00B4495F" w:rsidRDefault="00B4495F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налогу на доходы физических лиц в сумме 24,0 тыс. руб. от ООО «</w:t>
      </w:r>
      <w:proofErr w:type="spellStart"/>
      <w:r>
        <w:rPr>
          <w:rFonts w:ascii="Times New Roman CYR" w:hAnsi="Times New Roman CYR" w:cs="Times New Roman CYR"/>
        </w:rPr>
        <w:t>Омга</w:t>
      </w:r>
      <w:proofErr w:type="spellEnd"/>
      <w:r>
        <w:rPr>
          <w:rFonts w:ascii="Times New Roman CYR" w:hAnsi="Times New Roman CYR" w:cs="Times New Roman CYR"/>
        </w:rPr>
        <w:t>»;</w:t>
      </w:r>
    </w:p>
    <w:p w:rsidR="00B4495F" w:rsidRDefault="00B4495F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налогу, взимаемому в связи с применением упрощенной системы налогообложения  в сумме 8,5 тыс. руб.;</w:t>
      </w:r>
    </w:p>
    <w:p w:rsidR="00B4495F" w:rsidRDefault="00B4495F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 налогу на имущество организаций в сумме 8,1 тыс. руб.</w:t>
      </w:r>
    </w:p>
    <w:p w:rsidR="00B4495F" w:rsidRDefault="00B4495F" w:rsidP="008A3C63">
      <w:pPr>
        <w:autoSpaceDE w:val="0"/>
        <w:autoSpaceDN w:val="0"/>
        <w:adjustRightInd w:val="0"/>
        <w:ind w:firstLine="902"/>
        <w:contextualSpacing/>
        <w:jc w:val="both"/>
        <w:rPr>
          <w:rFonts w:ascii="Times New Roman CYR" w:hAnsi="Times New Roman CYR" w:cs="Times New Roman CYR"/>
        </w:rPr>
      </w:pPr>
    </w:p>
    <w:p w:rsidR="007353D7" w:rsidRPr="007353D7" w:rsidRDefault="007353D7" w:rsidP="008A3C63">
      <w:pPr>
        <w:autoSpaceDE w:val="0"/>
        <w:autoSpaceDN w:val="0"/>
        <w:adjustRightInd w:val="0"/>
        <w:ind w:firstLine="902"/>
        <w:contextualSpacing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Структура и динамика налоговых и неналоговых доходов бюджета района, оценка факторов, способствующих росту поступлений доходов и причин, оказывающих влияние на снижение поступлений.</w:t>
      </w:r>
    </w:p>
    <w:p w:rsidR="00123EF6" w:rsidRPr="00123EF6" w:rsidRDefault="00123EF6" w:rsidP="00123EF6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 CYR" w:hAnsi="Times New Roman CYR" w:cs="Times New Roman CYR"/>
        </w:rPr>
      </w:pPr>
    </w:p>
    <w:p w:rsidR="00E65B15" w:rsidRDefault="00DF697C" w:rsidP="00DF697C">
      <w:pPr>
        <w:autoSpaceDE w:val="0"/>
        <w:autoSpaceDN w:val="0"/>
        <w:adjustRightInd w:val="0"/>
        <w:spacing w:line="360" w:lineRule="auto"/>
        <w:ind w:firstLine="902"/>
        <w:jc w:val="both"/>
      </w:pPr>
      <w:r>
        <w:rPr>
          <w:rFonts w:ascii="Times New Roman CYR" w:hAnsi="Times New Roman CYR" w:cs="Times New Roman CYR"/>
        </w:rPr>
        <w:t xml:space="preserve"> С</w:t>
      </w:r>
      <w:r w:rsidR="00E65B15">
        <w:t xml:space="preserve">труктура и динамика налоговых и неналоговых доходов </w:t>
      </w:r>
      <w:r w:rsidR="00274654">
        <w:t xml:space="preserve"> </w:t>
      </w:r>
      <w:r w:rsidR="00E65B15">
        <w:t>бюджета Вятскополянского района за 201</w:t>
      </w:r>
      <w:r w:rsidR="00274654">
        <w:t>5</w:t>
      </w:r>
      <w:r w:rsidR="00E65B15">
        <w:t>-201</w:t>
      </w:r>
      <w:r w:rsidR="00274654">
        <w:t>6</w:t>
      </w:r>
      <w:r w:rsidR="00E65B15">
        <w:t xml:space="preserve"> годы представлена следующими таблицами:</w:t>
      </w:r>
    </w:p>
    <w:p w:rsidR="00B41A22" w:rsidRDefault="00B41A22" w:rsidP="00DF697C">
      <w:pPr>
        <w:autoSpaceDE w:val="0"/>
        <w:autoSpaceDN w:val="0"/>
        <w:adjustRightInd w:val="0"/>
        <w:spacing w:line="360" w:lineRule="auto"/>
        <w:ind w:firstLine="902"/>
        <w:jc w:val="both"/>
      </w:pPr>
    </w:p>
    <w:p w:rsidR="00E65B15" w:rsidRPr="00E65B15" w:rsidRDefault="00E65B15" w:rsidP="00E65B15">
      <w:pPr>
        <w:ind w:firstLine="709"/>
        <w:jc w:val="center"/>
        <w:rPr>
          <w:b/>
        </w:rPr>
      </w:pPr>
      <w:r w:rsidRPr="00E65B15">
        <w:rPr>
          <w:b/>
        </w:rPr>
        <w:t xml:space="preserve">Налоговые доходы </w:t>
      </w:r>
      <w:r w:rsidR="008005B6">
        <w:rPr>
          <w:b/>
        </w:rPr>
        <w:t xml:space="preserve"> </w:t>
      </w:r>
      <w:r w:rsidRPr="00E65B15">
        <w:rPr>
          <w:b/>
        </w:rPr>
        <w:t xml:space="preserve">бюджета </w:t>
      </w:r>
      <w:r w:rsidR="008005B6">
        <w:rPr>
          <w:b/>
        </w:rPr>
        <w:t xml:space="preserve"> </w:t>
      </w:r>
      <w:r w:rsidRPr="00E65B15">
        <w:rPr>
          <w:b/>
        </w:rPr>
        <w:t xml:space="preserve"> Вятскополянск</w:t>
      </w:r>
      <w:r w:rsidR="008005B6">
        <w:rPr>
          <w:b/>
        </w:rPr>
        <w:t>ого</w:t>
      </w:r>
      <w:r w:rsidRPr="00E65B15">
        <w:rPr>
          <w:b/>
        </w:rPr>
        <w:t xml:space="preserve"> муниципальн</w:t>
      </w:r>
      <w:r w:rsidR="008005B6">
        <w:rPr>
          <w:b/>
        </w:rPr>
        <w:t>ого</w:t>
      </w:r>
      <w:r w:rsidRPr="00E65B15">
        <w:rPr>
          <w:b/>
        </w:rPr>
        <w:t xml:space="preserve"> район</w:t>
      </w:r>
      <w:r w:rsidR="008005B6">
        <w:rPr>
          <w:b/>
        </w:rPr>
        <w:t>а</w:t>
      </w:r>
      <w:r w:rsidRPr="00E65B15">
        <w:rPr>
          <w:b/>
        </w:rPr>
        <w:t xml:space="preserve"> за 201</w:t>
      </w:r>
      <w:r w:rsidR="00A32D1B">
        <w:rPr>
          <w:b/>
        </w:rPr>
        <w:t>4</w:t>
      </w:r>
      <w:r w:rsidRPr="00E65B15">
        <w:rPr>
          <w:b/>
        </w:rPr>
        <w:t xml:space="preserve"> -201</w:t>
      </w:r>
      <w:r w:rsidR="00A32D1B">
        <w:rPr>
          <w:b/>
        </w:rPr>
        <w:t>6</w:t>
      </w:r>
      <w:r w:rsidRPr="00E65B15">
        <w:rPr>
          <w:b/>
        </w:rPr>
        <w:t xml:space="preserve"> годы</w:t>
      </w:r>
    </w:p>
    <w:p w:rsidR="00E65B15" w:rsidRPr="00D7392A" w:rsidRDefault="002213A6" w:rsidP="00E65B15">
      <w:pPr>
        <w:spacing w:line="360" w:lineRule="auto"/>
        <w:ind w:firstLine="851"/>
        <w:jc w:val="both"/>
      </w:pPr>
      <w:r>
        <w:t xml:space="preserve"> </w:t>
      </w:r>
    </w:p>
    <w:p w:rsidR="00B41A22" w:rsidRPr="00E65B15" w:rsidRDefault="00B41A22" w:rsidP="00B41A22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B41A22" w:rsidRDefault="00B41A22" w:rsidP="00B41A22">
      <w:pPr>
        <w:jc w:val="right"/>
      </w:pPr>
      <w:r>
        <w:t>тыс. руб.</w:t>
      </w:r>
    </w:p>
    <w:tbl>
      <w:tblPr>
        <w:tblW w:w="10774" w:type="dxa"/>
        <w:tblInd w:w="-743" w:type="dxa"/>
        <w:tblLayout w:type="fixed"/>
        <w:tblLook w:val="04A0"/>
      </w:tblPr>
      <w:tblGrid>
        <w:gridCol w:w="2552"/>
        <w:gridCol w:w="1276"/>
        <w:gridCol w:w="1276"/>
        <w:gridCol w:w="1134"/>
        <w:gridCol w:w="992"/>
        <w:gridCol w:w="1276"/>
        <w:gridCol w:w="1276"/>
        <w:gridCol w:w="992"/>
      </w:tblGrid>
      <w:tr w:rsidR="00B41A22" w:rsidRPr="00E65B15" w:rsidTr="00D07089">
        <w:trPr>
          <w:trHeight w:val="4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 w:rsidRPr="00E65B15">
              <w:rPr>
                <w:b/>
                <w:bCs/>
                <w:sz w:val="21"/>
                <w:szCs w:val="21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 w:rsidRPr="00E65B15">
              <w:rPr>
                <w:b/>
                <w:bCs/>
                <w:sz w:val="21"/>
                <w:szCs w:val="21"/>
              </w:rPr>
              <w:t>201</w:t>
            </w: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 w:rsidRPr="00E65B15">
              <w:rPr>
                <w:b/>
                <w:bCs/>
                <w:sz w:val="21"/>
                <w:szCs w:val="21"/>
              </w:rPr>
              <w:t>Отклонение 201</w:t>
            </w:r>
            <w:r>
              <w:rPr>
                <w:b/>
                <w:bCs/>
                <w:sz w:val="21"/>
                <w:szCs w:val="21"/>
              </w:rPr>
              <w:t>5</w:t>
            </w:r>
            <w:r w:rsidRPr="00E65B15">
              <w:rPr>
                <w:b/>
                <w:bCs/>
                <w:sz w:val="21"/>
                <w:szCs w:val="21"/>
              </w:rPr>
              <w:t>/201</w:t>
            </w:r>
            <w:r>
              <w:rPr>
                <w:b/>
                <w:bCs/>
                <w:sz w:val="21"/>
                <w:szCs w:val="21"/>
              </w:rPr>
              <w:t>4</w:t>
            </w:r>
          </w:p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 w:rsidRPr="00E65B15">
              <w:rPr>
                <w:b/>
                <w:bCs/>
                <w:sz w:val="21"/>
                <w:szCs w:val="21"/>
              </w:rPr>
              <w:t>Отклонение 201</w:t>
            </w:r>
            <w:r>
              <w:rPr>
                <w:b/>
                <w:bCs/>
                <w:sz w:val="21"/>
                <w:szCs w:val="21"/>
              </w:rPr>
              <w:t>6</w:t>
            </w:r>
            <w:r w:rsidRPr="00E65B15">
              <w:rPr>
                <w:b/>
                <w:bCs/>
                <w:sz w:val="21"/>
                <w:szCs w:val="21"/>
              </w:rPr>
              <w:t>/201</w:t>
            </w:r>
            <w:r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B41A22" w:rsidRPr="00E65B15" w:rsidTr="00D07089">
        <w:trPr>
          <w:trHeight w:val="7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22" w:rsidRPr="00E65B15" w:rsidRDefault="00B41A22" w:rsidP="00D0708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Поступило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Поступило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 xml:space="preserve">%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Поступило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 xml:space="preserve">%  </w:t>
            </w:r>
          </w:p>
        </w:tc>
      </w:tr>
      <w:tr w:rsidR="00B41A22" w:rsidRPr="00E65B15" w:rsidTr="00D07089">
        <w:trPr>
          <w:trHeight w:val="2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E65B15" w:rsidRDefault="00B41A22" w:rsidP="00D07089">
            <w:pPr>
              <w:rPr>
                <w:b/>
                <w:bCs/>
                <w:sz w:val="21"/>
                <w:szCs w:val="21"/>
              </w:rPr>
            </w:pPr>
            <w:r w:rsidRPr="00E65B15">
              <w:rPr>
                <w:b/>
                <w:bCs/>
                <w:sz w:val="21"/>
                <w:szCs w:val="21"/>
              </w:rPr>
              <w:t>Всего 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55488,16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59369,106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3 880,946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+ 6,99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64 097,76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4 728,654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E65B15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+ 7,96</w:t>
            </w:r>
          </w:p>
        </w:tc>
      </w:tr>
      <w:tr w:rsidR="00B41A22" w:rsidRPr="00E65B15" w:rsidTr="00D07089">
        <w:trPr>
          <w:trHeight w:val="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21851,754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21706,861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-144,893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23 094,352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1 387,491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+ 6,39</w:t>
            </w:r>
          </w:p>
        </w:tc>
      </w:tr>
      <w:tr w:rsidR="00B41A22" w:rsidRPr="00E65B15" w:rsidTr="00D07089">
        <w:trPr>
          <w:trHeight w:val="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2 197,343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2 274,035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76,692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3 411,832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1 137,797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+ 50,03</w:t>
            </w:r>
          </w:p>
        </w:tc>
      </w:tr>
      <w:tr w:rsidR="00B41A22" w:rsidRPr="00E65B15" w:rsidTr="00D07089">
        <w:trPr>
          <w:trHeight w:val="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6 050,578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6 599,597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549,019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11 306,097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4 706,5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+ 71,31</w:t>
            </w:r>
          </w:p>
        </w:tc>
      </w:tr>
      <w:tr w:rsidR="00B41A22" w:rsidRPr="00E65B15" w:rsidTr="00D07089">
        <w:trPr>
          <w:trHeight w:val="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госпошлина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485,673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522,656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605,765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83,109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+ 15,9</w:t>
            </w:r>
          </w:p>
        </w:tc>
      </w:tr>
      <w:tr w:rsidR="00B41A22" w:rsidRPr="00E65B15" w:rsidTr="00D07089">
        <w:trPr>
          <w:trHeight w:val="38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Специальные налоговые режимы,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24902,812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28265,957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3 363,145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25 679,714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- 2586,243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- 5,61</w:t>
            </w:r>
          </w:p>
        </w:tc>
      </w:tr>
      <w:tr w:rsidR="00B41A22" w:rsidRPr="00E65B15" w:rsidTr="00D07089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16636,712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19892,952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3 256,24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+19,57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17 688,719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- 2 204,233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- 11,08</w:t>
            </w:r>
          </w:p>
        </w:tc>
      </w:tr>
      <w:tr w:rsidR="00B41A22" w:rsidRPr="00E65B15" w:rsidTr="00D07089">
        <w:trPr>
          <w:trHeight w:val="2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ЕНВД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7 804,876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8 016,763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211,887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7 793,345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- 223,418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- 2,78</w:t>
            </w:r>
          </w:p>
        </w:tc>
      </w:tr>
      <w:tr w:rsidR="00B41A22" w:rsidRPr="00E65B15" w:rsidTr="00D07089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- 294,02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- 67,57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57,583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- 83,505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-59,18</w:t>
            </w:r>
          </w:p>
        </w:tc>
      </w:tr>
      <w:tr w:rsidR="00B41A22" w:rsidRPr="00E65B15" w:rsidTr="00D07089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color w:val="000000"/>
                <w:sz w:val="21"/>
                <w:szCs w:val="21"/>
              </w:rPr>
            </w:pPr>
            <w:r w:rsidRPr="00E65B15">
              <w:rPr>
                <w:color w:val="000000"/>
                <w:sz w:val="21"/>
                <w:szCs w:val="2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E65B15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189,038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+ 723,84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140,067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- 75,087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A22" w:rsidRPr="009D10CA" w:rsidRDefault="00B41A22" w:rsidP="00D0708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- 34,9</w:t>
            </w:r>
          </w:p>
        </w:tc>
      </w:tr>
    </w:tbl>
    <w:p w:rsidR="00B41A22" w:rsidRPr="00CA7BA4" w:rsidRDefault="00B41A22" w:rsidP="00B41A22">
      <w:pPr>
        <w:spacing w:line="360" w:lineRule="auto"/>
        <w:jc w:val="both"/>
        <w:rPr>
          <w:sz w:val="21"/>
          <w:szCs w:val="21"/>
        </w:rPr>
      </w:pPr>
      <w:r w:rsidRPr="00E65B15">
        <w:rPr>
          <w:sz w:val="21"/>
          <w:szCs w:val="21"/>
        </w:rPr>
        <w:t xml:space="preserve"> </w:t>
      </w:r>
    </w:p>
    <w:p w:rsidR="00B41A22" w:rsidRDefault="00B41A22" w:rsidP="00B41A22">
      <w:pPr>
        <w:spacing w:line="360" w:lineRule="auto"/>
        <w:ind w:firstLine="851"/>
        <w:jc w:val="both"/>
      </w:pPr>
      <w:r>
        <w:t xml:space="preserve">Из вышеуказанных данных можно сделать вывод, что налоговые доходы бюджета района в 2015 году увеличились на 3 880,946 тыс. руб. или на 6,99 % по сравнению с 2014 годом. </w:t>
      </w:r>
    </w:p>
    <w:p w:rsidR="00B41A22" w:rsidRDefault="00B41A22" w:rsidP="00B41A22">
      <w:pPr>
        <w:spacing w:line="360" w:lineRule="auto"/>
        <w:ind w:firstLine="851"/>
        <w:jc w:val="both"/>
      </w:pPr>
      <w:r>
        <w:t>Следует отметить, что сумма поступлений от налога на доходы физических лиц незначительно, но снизилась, а именно на 144,893 тыс. руб. или на 0,66 % (доля в общем объёме налоговых поступлений – 36,56 %). Данный факт может означать, либо снижение фактической заработной платы, либо снижение количества работающих граждан в районе.</w:t>
      </w:r>
    </w:p>
    <w:p w:rsidR="00B41A22" w:rsidRDefault="00B41A22" w:rsidP="00B41A22">
      <w:pPr>
        <w:spacing w:line="360" w:lineRule="auto"/>
        <w:ind w:firstLine="851"/>
        <w:jc w:val="both"/>
      </w:pPr>
      <w:r>
        <w:t>Также отмечается значительное снижение поступления доходов от единого сельскохозяйственного налога, а именно на 294,02 тыс. руб. или на 67,57 % (доля в общем объёме налоговых доходов – 0,24 %).</w:t>
      </w:r>
    </w:p>
    <w:p w:rsidR="00B41A22" w:rsidRDefault="00B41A22" w:rsidP="00B41A22">
      <w:pPr>
        <w:spacing w:line="360" w:lineRule="auto"/>
        <w:ind w:firstLine="851"/>
        <w:jc w:val="both"/>
      </w:pPr>
      <w:r>
        <w:t xml:space="preserve"> Отмечается незначительное увеличение в 2015 году по отношению к 2014 году по следующим налоговым доходам:</w:t>
      </w:r>
    </w:p>
    <w:p w:rsidR="00B41A22" w:rsidRDefault="00B41A22" w:rsidP="00B41A22">
      <w:pPr>
        <w:spacing w:line="360" w:lineRule="auto"/>
        <w:ind w:firstLine="851"/>
        <w:jc w:val="both"/>
      </w:pPr>
      <w:r>
        <w:t>- акцизы на 76,692 тыс. руб. или на 3,49 % (доля в общем объёме налоговых поступлений составляет 3,83 %);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единый налог на вменённый доход на 211,887 тыс. руб. или на 2,71 % (доля в общем объёме налоговых поступлений – 13,5 %);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госпошлина на 36,893 тыс. руб. или на 7,61 % (доля в общем объёме налоговых доходов – 0,88 %).</w:t>
      </w:r>
    </w:p>
    <w:p w:rsidR="00B41A22" w:rsidRDefault="00B41A22" w:rsidP="00B41A22">
      <w:pPr>
        <w:spacing w:line="360" w:lineRule="auto"/>
        <w:ind w:firstLine="851"/>
        <w:jc w:val="both"/>
      </w:pPr>
      <w:r>
        <w:lastRenderedPageBreak/>
        <w:t>Значительно увеличились доходы по следующим налогам:</w:t>
      </w:r>
    </w:p>
    <w:p w:rsidR="00B41A22" w:rsidRDefault="00B41A22" w:rsidP="00B41A22">
      <w:pPr>
        <w:spacing w:line="360" w:lineRule="auto"/>
        <w:ind w:firstLine="851"/>
        <w:jc w:val="both"/>
      </w:pPr>
      <w:r>
        <w:t xml:space="preserve"> - налог на имущество организаций  - на 549,019 тыс. руб. или на 9,07 % (доля в общем объёме налоговых доходов – 11,12 %)</w:t>
      </w:r>
      <w:r w:rsidR="004A6D2D">
        <w:t xml:space="preserve"> обусловлено снятием льгот с отдельных плательщиков</w:t>
      </w:r>
      <w:r>
        <w:t>;</w:t>
      </w:r>
    </w:p>
    <w:p w:rsidR="00B41A22" w:rsidRDefault="00B41A22" w:rsidP="00B41A22">
      <w:pPr>
        <w:spacing w:line="360" w:lineRule="auto"/>
        <w:ind w:firstLine="851"/>
        <w:jc w:val="both"/>
      </w:pPr>
      <w:r>
        <w:t>- налог, взимаемый в связи с применением упрощённой системы налогообложения - на 3 256,24 тыс. руб. или на 19,57 % (доля в общем объёме налоговых поступлений – 33,5 %);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налог,  взимаемый с применением патентной системы налогообложения – на 189,038 тыс. руб. или на 723,84 % (доля в общем объёме налоговых поступлений – 0,36%).</w:t>
      </w:r>
    </w:p>
    <w:p w:rsidR="00BE57AD" w:rsidRDefault="00BE57AD" w:rsidP="00B41A22">
      <w:pPr>
        <w:spacing w:line="360" w:lineRule="auto"/>
        <w:ind w:firstLine="851"/>
        <w:jc w:val="both"/>
      </w:pPr>
    </w:p>
    <w:p w:rsidR="00B41A22" w:rsidRDefault="00B41A22" w:rsidP="00B41A22">
      <w:pPr>
        <w:spacing w:line="360" w:lineRule="auto"/>
        <w:ind w:firstLine="851"/>
        <w:jc w:val="both"/>
      </w:pPr>
      <w:r>
        <w:t>В 2016 году значительно увеличились налоговые доходы по сравнению с 2015 годом, а именно на 4 728,654 тыс. руб. или на 7,96 %. Данный факт в большей степени обусловлен повышением доходов по следующим видам налогов: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налогу на имущество на 4 706,5 тыс. руб. или на 71,31% (доля в общем объёме налоговых доходов – 17,64 %);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налогу на доходы физических лиц на 1 387,491 тыс. руб. или на 6,39 % (доля в общем объёме налоговых доходов – 36,03 %);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акцизам на 1 137,797 тыс. руб. или на 50,03 % (доля в общем объёме налоговых доходов – 5,32 %);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государственной пошлине на 83,109 тыс. руб. или на 15,9% (доля в общем объёме налоговых доходов – 0,95 %).</w:t>
      </w:r>
    </w:p>
    <w:p w:rsidR="00B41A22" w:rsidRDefault="00B41A22" w:rsidP="00B41A22">
      <w:pPr>
        <w:spacing w:line="360" w:lineRule="auto"/>
        <w:ind w:firstLine="851"/>
        <w:jc w:val="both"/>
      </w:pPr>
      <w:r>
        <w:t>При этом отмечается значительное снижение доходов по специальным налоговым режимам, а именно на 2 586,243 тыс. руб. или на 5,61 %. Снижение произошло по следующим видам налогов: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налогу, взимаемому в связи с применением упрощённой системы налогообложения  на 2 204,233 тыс. руб. или на 11,08% (доля в общем объёме налоговых доходов – 27,3 %);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единому налогу на вменённый доход на 223,418 тыс. руб. или на 2,78 % (доля в общем объёме налоговых доходов – 27,6 %);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единому сельскохозяйственному налогу на 83,505 тыс. руб. или на 59,18 % (доля в общем объёме налоговых доходов – 0,09 %);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налогу, взимаемому в связи с применением патентной системы налогообложения на 75,087 тыс. руб. или на 34,9 % (доля в общем объёме налоговых доходов – 0,22 %).</w:t>
      </w:r>
    </w:p>
    <w:p w:rsidR="00D07089" w:rsidRDefault="00D07089" w:rsidP="00B41A22">
      <w:pPr>
        <w:spacing w:line="360" w:lineRule="auto"/>
        <w:ind w:firstLine="851"/>
        <w:jc w:val="both"/>
      </w:pPr>
    </w:p>
    <w:p w:rsidR="00B41A22" w:rsidRDefault="00B41A22" w:rsidP="00B41A22">
      <w:pPr>
        <w:spacing w:line="360" w:lineRule="auto"/>
        <w:ind w:firstLine="851"/>
        <w:jc w:val="both"/>
      </w:pPr>
    </w:p>
    <w:p w:rsidR="00B41A22" w:rsidRPr="00FC53C2" w:rsidRDefault="00B41A22" w:rsidP="00B41A22">
      <w:pPr>
        <w:ind w:firstLine="709"/>
        <w:jc w:val="center"/>
        <w:rPr>
          <w:b/>
        </w:rPr>
      </w:pPr>
      <w:r w:rsidRPr="00FC53C2">
        <w:rPr>
          <w:b/>
        </w:rPr>
        <w:lastRenderedPageBreak/>
        <w:t>Неналоговые  доходы бюджета Вятскополянск</w:t>
      </w:r>
      <w:r>
        <w:rPr>
          <w:b/>
        </w:rPr>
        <w:t>ого</w:t>
      </w:r>
      <w:r w:rsidRPr="00FC53C2">
        <w:rPr>
          <w:b/>
        </w:rPr>
        <w:t xml:space="preserve"> муниципальн</w:t>
      </w:r>
      <w:r>
        <w:rPr>
          <w:b/>
        </w:rPr>
        <w:t>ого</w:t>
      </w:r>
      <w:r w:rsidRPr="00FC53C2">
        <w:rPr>
          <w:b/>
        </w:rPr>
        <w:t xml:space="preserve"> район</w:t>
      </w:r>
      <w:r>
        <w:rPr>
          <w:b/>
        </w:rPr>
        <w:t>а</w:t>
      </w:r>
      <w:r w:rsidRPr="00FC53C2">
        <w:rPr>
          <w:b/>
        </w:rPr>
        <w:t xml:space="preserve"> за 201</w:t>
      </w:r>
      <w:r>
        <w:rPr>
          <w:b/>
        </w:rPr>
        <w:t>4</w:t>
      </w:r>
      <w:r w:rsidRPr="00FC53C2">
        <w:rPr>
          <w:b/>
        </w:rPr>
        <w:t xml:space="preserve"> -201</w:t>
      </w:r>
      <w:r>
        <w:rPr>
          <w:b/>
        </w:rPr>
        <w:t>6</w:t>
      </w:r>
      <w:r w:rsidRPr="00FC53C2">
        <w:rPr>
          <w:b/>
        </w:rPr>
        <w:t xml:space="preserve"> годы</w:t>
      </w:r>
    </w:p>
    <w:p w:rsidR="00D07089" w:rsidRDefault="00D07089" w:rsidP="00B41A22">
      <w:pPr>
        <w:jc w:val="right"/>
      </w:pPr>
    </w:p>
    <w:p w:rsidR="00B41A22" w:rsidRDefault="00B41A22" w:rsidP="00B41A22">
      <w:pPr>
        <w:jc w:val="right"/>
      </w:pPr>
      <w:r>
        <w:t>тыс. руб.</w:t>
      </w:r>
    </w:p>
    <w:tbl>
      <w:tblPr>
        <w:tblW w:w="10349" w:type="dxa"/>
        <w:tblInd w:w="-176" w:type="dxa"/>
        <w:tblLayout w:type="fixed"/>
        <w:tblLook w:val="04A0"/>
      </w:tblPr>
      <w:tblGrid>
        <w:gridCol w:w="2485"/>
        <w:gridCol w:w="1201"/>
        <w:gridCol w:w="1276"/>
        <w:gridCol w:w="1134"/>
        <w:gridCol w:w="851"/>
        <w:gridCol w:w="1275"/>
        <w:gridCol w:w="1134"/>
        <w:gridCol w:w="993"/>
      </w:tblGrid>
      <w:tr w:rsidR="00B41A22" w:rsidRPr="00C956B2" w:rsidTr="00D07089">
        <w:trPr>
          <w:trHeight w:val="477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1A22" w:rsidRPr="00B7718A" w:rsidRDefault="00B41A22" w:rsidP="00D07089">
            <w:pPr>
              <w:rPr>
                <w:b/>
                <w:bCs/>
                <w:sz w:val="21"/>
                <w:szCs w:val="21"/>
              </w:rPr>
            </w:pPr>
            <w:r w:rsidRPr="00B7718A">
              <w:rPr>
                <w:b/>
                <w:bCs/>
                <w:sz w:val="21"/>
                <w:szCs w:val="21"/>
              </w:rPr>
              <w:t>Наименование доходов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A22" w:rsidRPr="00B7718A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A22" w:rsidRPr="00B7718A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 w:rsidRPr="00B7718A">
              <w:rPr>
                <w:b/>
                <w:bCs/>
                <w:sz w:val="21"/>
                <w:szCs w:val="21"/>
              </w:rPr>
              <w:t>Отклонение 201</w:t>
            </w:r>
            <w:r>
              <w:rPr>
                <w:b/>
                <w:bCs/>
                <w:sz w:val="21"/>
                <w:szCs w:val="21"/>
              </w:rPr>
              <w:t>5</w:t>
            </w:r>
            <w:r w:rsidRPr="00B7718A">
              <w:rPr>
                <w:b/>
                <w:bCs/>
                <w:sz w:val="21"/>
                <w:szCs w:val="21"/>
              </w:rPr>
              <w:t>/201</w:t>
            </w: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A22" w:rsidRPr="00B7718A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1A22" w:rsidRPr="00B7718A" w:rsidRDefault="00B41A22" w:rsidP="00D07089">
            <w:pPr>
              <w:jc w:val="center"/>
              <w:rPr>
                <w:b/>
                <w:bCs/>
                <w:sz w:val="21"/>
                <w:szCs w:val="21"/>
              </w:rPr>
            </w:pPr>
            <w:r w:rsidRPr="00B7718A">
              <w:rPr>
                <w:b/>
                <w:bCs/>
                <w:sz w:val="21"/>
                <w:szCs w:val="21"/>
              </w:rPr>
              <w:t>Отклонение 201</w:t>
            </w:r>
            <w:r>
              <w:rPr>
                <w:b/>
                <w:bCs/>
                <w:sz w:val="21"/>
                <w:szCs w:val="21"/>
              </w:rPr>
              <w:t>6</w:t>
            </w:r>
            <w:r w:rsidRPr="00B7718A">
              <w:rPr>
                <w:b/>
                <w:bCs/>
                <w:sz w:val="21"/>
                <w:szCs w:val="21"/>
              </w:rPr>
              <w:t>/201</w:t>
            </w:r>
            <w:r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B41A22" w:rsidRPr="00C956B2" w:rsidTr="00D07089">
        <w:trPr>
          <w:trHeight w:val="413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A22" w:rsidRPr="00B7718A" w:rsidRDefault="00B41A22" w:rsidP="00D0708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Поступило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Поступило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 xml:space="preserve">%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Поступило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E65B15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07149D" w:rsidRDefault="00B41A22" w:rsidP="00D07089">
            <w:pPr>
              <w:rPr>
                <w:sz w:val="21"/>
                <w:szCs w:val="21"/>
              </w:rPr>
            </w:pPr>
            <w:r w:rsidRPr="00E65B15">
              <w:rPr>
                <w:sz w:val="21"/>
                <w:szCs w:val="21"/>
              </w:rPr>
              <w:t xml:space="preserve">%  </w:t>
            </w:r>
          </w:p>
        </w:tc>
      </w:tr>
      <w:tr w:rsidR="00B41A22" w:rsidRPr="00C956B2" w:rsidTr="00D07089">
        <w:trPr>
          <w:trHeight w:val="54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765373" w:rsidRDefault="00B41A22" w:rsidP="00D07089">
            <w:pPr>
              <w:rPr>
                <w:b/>
                <w:sz w:val="21"/>
                <w:szCs w:val="21"/>
              </w:rPr>
            </w:pPr>
            <w:r w:rsidRPr="00765373">
              <w:rPr>
                <w:b/>
                <w:sz w:val="21"/>
                <w:szCs w:val="21"/>
              </w:rPr>
              <w:t>Всего неналоговых доходов, 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765373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 w:rsidRPr="00765373">
              <w:rPr>
                <w:b/>
                <w:sz w:val="21"/>
                <w:szCs w:val="21"/>
              </w:rPr>
              <w:t>38 369,993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765373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 w:rsidRPr="00765373">
              <w:rPr>
                <w:b/>
                <w:sz w:val="21"/>
                <w:szCs w:val="21"/>
              </w:rPr>
              <w:t>36 021,183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765373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 w:rsidRPr="00765373">
              <w:rPr>
                <w:b/>
                <w:sz w:val="21"/>
                <w:szCs w:val="21"/>
              </w:rPr>
              <w:t>- 2 348,81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765373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 w:rsidRPr="00765373">
              <w:rPr>
                <w:b/>
                <w:sz w:val="21"/>
                <w:szCs w:val="21"/>
              </w:rPr>
              <w:t>- 6,12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957464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 w:rsidRPr="00957464">
              <w:rPr>
                <w:b/>
                <w:sz w:val="21"/>
                <w:szCs w:val="21"/>
              </w:rPr>
              <w:t>38 853,113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957464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2 831,93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957464" w:rsidRDefault="00B41A22" w:rsidP="00D0708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+ 7,86</w:t>
            </w:r>
          </w:p>
        </w:tc>
      </w:tr>
      <w:tr w:rsidR="00B41A22" w:rsidRPr="00C956B2" w:rsidTr="00D07089">
        <w:trPr>
          <w:trHeight w:val="321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Доходы от аренды земли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3 878,317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3 278,473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- 599,844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-15,47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4 379,985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1 101,512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+ 33,6</w:t>
            </w:r>
          </w:p>
        </w:tc>
      </w:tr>
      <w:tr w:rsidR="00B41A22" w:rsidRPr="00C956B2" w:rsidTr="00D07089">
        <w:trPr>
          <w:trHeight w:val="321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 xml:space="preserve">Доходы  от сдачи в аренду имущества </w:t>
            </w:r>
            <w:r>
              <w:rPr>
                <w:sz w:val="21"/>
                <w:szCs w:val="21"/>
              </w:rPr>
              <w:t>казны</w:t>
            </w:r>
            <w:r w:rsidRPr="00B7718A">
              <w:rPr>
                <w:sz w:val="21"/>
                <w:szCs w:val="21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3 787,357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3 826,254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+1,027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2 911,601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- 914,653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- 23,9</w:t>
            </w:r>
          </w:p>
        </w:tc>
      </w:tr>
      <w:tr w:rsidR="00B41A22" w:rsidRPr="00C956B2" w:rsidTr="00D07089">
        <w:trPr>
          <w:trHeight w:val="54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668,345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646,582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- 21,763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816,788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170,206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+ 26,32</w:t>
            </w:r>
          </w:p>
        </w:tc>
      </w:tr>
      <w:tr w:rsidR="00B41A22" w:rsidRPr="00C956B2" w:rsidTr="00D07089">
        <w:trPr>
          <w:trHeight w:val="54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Плата за негативное воздействие на окружающую среду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637,251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453,423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- 183,828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- 28,85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Default="00B41A22" w:rsidP="00D07089">
            <w:pPr>
              <w:jc w:val="center"/>
              <w:rPr>
                <w:sz w:val="21"/>
                <w:szCs w:val="21"/>
              </w:rPr>
            </w:pPr>
          </w:p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245,163</w:t>
            </w:r>
          </w:p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- 208,26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- 45,93</w:t>
            </w:r>
          </w:p>
        </w:tc>
      </w:tr>
      <w:tr w:rsidR="00B41A22" w:rsidRPr="00C956B2" w:rsidTr="00D07089">
        <w:trPr>
          <w:trHeight w:val="321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Доходы от реализации имущества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1 784,234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611,372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- 1172,862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- 65,74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1 333,926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722,554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+ 118,19</w:t>
            </w:r>
          </w:p>
        </w:tc>
      </w:tr>
      <w:tr w:rsidR="00B41A22" w:rsidRPr="00C956B2" w:rsidTr="00D07089">
        <w:trPr>
          <w:trHeight w:val="321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Доходы от продажи земельных участков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766,415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1 125,469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+46,85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1 396,009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+24,04</w:t>
            </w:r>
          </w:p>
        </w:tc>
      </w:tr>
      <w:tr w:rsidR="00B41A22" w:rsidRPr="00C956B2" w:rsidTr="00D07089">
        <w:trPr>
          <w:trHeight w:val="545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Доходы в виде штрафных санкций, возмещение ущерба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592,975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- 307,054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Default="00B41A22" w:rsidP="00D07089">
            <w:pPr>
              <w:jc w:val="center"/>
              <w:rPr>
                <w:sz w:val="21"/>
                <w:szCs w:val="21"/>
              </w:rPr>
            </w:pPr>
          </w:p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181,174</w:t>
            </w:r>
          </w:p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- 104,747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-36,63</w:t>
            </w:r>
          </w:p>
        </w:tc>
      </w:tr>
      <w:tr w:rsidR="00B41A22" w:rsidRPr="00C956B2" w:rsidTr="00D07089">
        <w:trPr>
          <w:trHeight w:val="321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Платные услуги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26 232,105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25 783,47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- 448,635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27 582,832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1799,362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B7718A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+ 6,98</w:t>
            </w:r>
          </w:p>
        </w:tc>
      </w:tr>
      <w:tr w:rsidR="00B41A22" w:rsidRPr="00C956B2" w:rsidTr="00D07089">
        <w:trPr>
          <w:trHeight w:val="321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A22" w:rsidRPr="00B7718A" w:rsidRDefault="00B41A22" w:rsidP="00D07089">
            <w:pPr>
              <w:rPr>
                <w:sz w:val="21"/>
                <w:szCs w:val="21"/>
              </w:rPr>
            </w:pPr>
            <w:r w:rsidRPr="00B7718A">
              <w:rPr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color w:val="000000"/>
                <w:sz w:val="21"/>
                <w:szCs w:val="21"/>
              </w:rPr>
            </w:pPr>
            <w:r w:rsidRPr="00525C58">
              <w:rPr>
                <w:color w:val="000000"/>
                <w:sz w:val="21"/>
                <w:szCs w:val="21"/>
              </w:rPr>
              <w:t>22,994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sz w:val="21"/>
                <w:szCs w:val="21"/>
              </w:rPr>
            </w:pPr>
            <w:r w:rsidRPr="00525C58">
              <w:rPr>
                <w:sz w:val="21"/>
                <w:szCs w:val="21"/>
              </w:rPr>
              <w:t>10,219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sz w:val="21"/>
                <w:szCs w:val="21"/>
              </w:rPr>
            </w:pPr>
            <w:r w:rsidRPr="00525C58">
              <w:rPr>
                <w:sz w:val="21"/>
                <w:szCs w:val="21"/>
              </w:rPr>
              <w:t>- 12,775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color w:val="000000"/>
                <w:sz w:val="21"/>
                <w:szCs w:val="21"/>
              </w:rPr>
            </w:pPr>
            <w:r w:rsidRPr="00525C58">
              <w:rPr>
                <w:color w:val="000000"/>
                <w:sz w:val="21"/>
                <w:szCs w:val="21"/>
              </w:rPr>
              <w:t>- 55,56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A22" w:rsidRPr="00525C58" w:rsidRDefault="00B41A22" w:rsidP="00D07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-44,86</w:t>
            </w:r>
          </w:p>
        </w:tc>
      </w:tr>
    </w:tbl>
    <w:p w:rsidR="00B41A22" w:rsidRDefault="00B41A22" w:rsidP="00B41A22">
      <w:pPr>
        <w:spacing w:line="360" w:lineRule="auto"/>
        <w:jc w:val="both"/>
      </w:pPr>
    </w:p>
    <w:p w:rsidR="00B41A22" w:rsidRDefault="00B41A22" w:rsidP="00B41A22">
      <w:pPr>
        <w:spacing w:line="360" w:lineRule="auto"/>
        <w:ind w:firstLine="851"/>
        <w:jc w:val="both"/>
      </w:pPr>
      <w:r>
        <w:t xml:space="preserve">Неналоговые доходы за </w:t>
      </w:r>
      <w:r w:rsidR="00C32282">
        <w:t xml:space="preserve">2015 год </w:t>
      </w:r>
      <w:r>
        <w:t xml:space="preserve"> наоборот снизились на 2 348,81 тыс. руб. или на 6,12 %.  Значительное снижение доходов наблюдается по следующим видам:</w:t>
      </w:r>
    </w:p>
    <w:p w:rsidR="00B41A22" w:rsidRDefault="00B41A22" w:rsidP="00B41A22">
      <w:pPr>
        <w:spacing w:line="360" w:lineRule="auto"/>
        <w:ind w:firstLine="851"/>
        <w:jc w:val="both"/>
      </w:pPr>
      <w:r>
        <w:t xml:space="preserve">- от аренды земли на 599,844 тыс. руб. или на 15,47 % (доля в общем объёме неналоговых доходов – 9,1%), 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реализации имущества на 1 172,862 тыс. руб. или на 65,74 % (доля в общем  объёме неналоговых доходов – 1,7 %);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платным услугам на 4478,635 тыс. руб. или на 1,71 % (доля в общем объёме неналоговых доходов – 71,58 %);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плата за негативное воздействие окружающей среды на 183,828 тыс. руб. или на 28,85 % (доля в общем объёме неналоговых доходов – 1,26%);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штрафных санкций и возмещения ущерба на 307,054 тыс. руб. или на 51,78% (доля в общем объёме неналоговых доходов – 0,79%).</w:t>
      </w:r>
    </w:p>
    <w:p w:rsidR="00B41A22" w:rsidRDefault="00B41A22" w:rsidP="00B41A22">
      <w:pPr>
        <w:spacing w:line="360" w:lineRule="auto"/>
        <w:ind w:firstLine="851"/>
        <w:jc w:val="both"/>
      </w:pPr>
      <w:r>
        <w:t>Незначительное снижение доходов произошло по суммам доходов от  аренды имущества, находящегося в оперативном управлении на 21,763 тыс. руб. или на 3,26% (доля в общем объёме неналоговых доходов – 1,8 %).</w:t>
      </w:r>
    </w:p>
    <w:p w:rsidR="00B41A22" w:rsidRDefault="00B41A22" w:rsidP="00B41A22">
      <w:pPr>
        <w:spacing w:line="360" w:lineRule="auto"/>
        <w:ind w:firstLine="851"/>
        <w:jc w:val="both"/>
      </w:pPr>
      <w:r>
        <w:lastRenderedPageBreak/>
        <w:t>Отмечается положительная динамика по доходам от аренды имущества казны на 38,897 тыс. руб. или на 1,027 % (доля в общем объёме неналоговых доходов – 10,62%).</w:t>
      </w:r>
    </w:p>
    <w:p w:rsidR="00B41A22" w:rsidRDefault="00B41A22" w:rsidP="00B41A22">
      <w:pPr>
        <w:spacing w:line="360" w:lineRule="auto"/>
        <w:ind w:firstLine="851"/>
        <w:jc w:val="both"/>
      </w:pPr>
      <w:r>
        <w:t>Значительно увеличились доходы от продажи земельных участков, а именно на 359,054 тыс. руб. или на 46,85 % (доля в общем объёме неналоговых поступлений – 3,12%).</w:t>
      </w:r>
    </w:p>
    <w:p w:rsidR="00B41A22" w:rsidRDefault="00B41A22" w:rsidP="00B41A22">
      <w:pPr>
        <w:spacing w:line="360" w:lineRule="auto"/>
        <w:ind w:firstLine="851"/>
        <w:jc w:val="both"/>
      </w:pPr>
      <w:r>
        <w:t>По итогам 2016 года произошло увеличение по неналоговым доходам на 2 831,93 тыс. руб. или на 7,86 %. Данный акт обусловлен увеличением поступлений по следующим видам доходов:</w:t>
      </w:r>
    </w:p>
    <w:p w:rsidR="00B41A22" w:rsidRDefault="00B41A22" w:rsidP="00B41A22">
      <w:pPr>
        <w:spacing w:line="360" w:lineRule="auto"/>
        <w:ind w:firstLine="851"/>
        <w:jc w:val="both"/>
      </w:pPr>
      <w:r>
        <w:t>-  по аренде земли на 1 101,512 тыс. руб. или на 33,6 % (доля в общем объёме неналоговых доходов – 11,27 %);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платных услуг на 1 799,362 тыс. руб. или на 6,98 % (доля в общем объёме неналоговых доходов – 70,99 %);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реализации имущества на 722,554 тыс. руб. или на 118,19 % (доля в общем объёме неналоговых доходов – 3,43 %);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продажи земельных участков на 270,54 тыс. руб. или на 24,04 % (доля в общем объёме неналоговых доходов – 3,59 %);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по аренде имущества, находящегося в оперативном управлении на 170,206 тыс. руб. или на 26,32% (доля в общем объёме неналоговых доходов – 2,1%).</w:t>
      </w:r>
    </w:p>
    <w:p w:rsidR="00B41A22" w:rsidRDefault="00B41A22" w:rsidP="00B41A22">
      <w:pPr>
        <w:spacing w:line="360" w:lineRule="auto"/>
        <w:ind w:firstLine="851"/>
        <w:jc w:val="both"/>
      </w:pPr>
      <w:r>
        <w:t>При этом отмечается снижение доходов от следующих вид</w:t>
      </w:r>
      <w:r w:rsidR="0088646D">
        <w:t>ов</w:t>
      </w:r>
      <w:r>
        <w:t xml:space="preserve"> поступлений: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сдачи в аренду имущества казны на 914,653 тыс. руб. или на 23,9 % (доля в общем объёме неналоговых доходов – 7,49 %);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платы за негативное воздействие на окружающую среду на 208,26 или на 45,93 % (доля в общем объёме неналоговых доходов – 0,63 %);</w:t>
      </w:r>
    </w:p>
    <w:p w:rsidR="00B41A22" w:rsidRDefault="00B41A22" w:rsidP="00B41A22">
      <w:pPr>
        <w:spacing w:line="360" w:lineRule="auto"/>
        <w:ind w:firstLine="851"/>
        <w:jc w:val="both"/>
      </w:pPr>
      <w:r>
        <w:t>- от поступлений штрафов на 104,747 тыс. руб. или на 36,63 % (доля в общем объёме неналоговых доходов – 0,47).</w:t>
      </w:r>
    </w:p>
    <w:p w:rsidR="00CE444C" w:rsidRDefault="00CE444C" w:rsidP="00733AB9">
      <w:pPr>
        <w:tabs>
          <w:tab w:val="left" w:pos="1264"/>
        </w:tabs>
        <w:jc w:val="both"/>
      </w:pPr>
    </w:p>
    <w:p w:rsidR="00CE444C" w:rsidRDefault="009C1633" w:rsidP="009C1633">
      <w:pPr>
        <w:tabs>
          <w:tab w:val="left" w:pos="1264"/>
        </w:tabs>
        <w:jc w:val="center"/>
        <w:rPr>
          <w:b/>
        </w:rPr>
      </w:pPr>
      <w:r>
        <w:rPr>
          <w:b/>
        </w:rPr>
        <w:t xml:space="preserve">Эффективность осуществления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использованием муниципального имущества</w:t>
      </w:r>
    </w:p>
    <w:p w:rsidR="009C1633" w:rsidRDefault="009C1633" w:rsidP="009C1633">
      <w:pPr>
        <w:tabs>
          <w:tab w:val="left" w:pos="1264"/>
        </w:tabs>
        <w:jc w:val="both"/>
      </w:pPr>
    </w:p>
    <w:p w:rsidR="009C1633" w:rsidRDefault="009C1633" w:rsidP="009C1633">
      <w:pPr>
        <w:tabs>
          <w:tab w:val="left" w:pos="1264"/>
        </w:tabs>
        <w:jc w:val="both"/>
      </w:pPr>
    </w:p>
    <w:p w:rsidR="009C1633" w:rsidRDefault="009C1633" w:rsidP="009C1633">
      <w:pPr>
        <w:tabs>
          <w:tab w:val="left" w:pos="0"/>
        </w:tabs>
        <w:ind w:firstLine="851"/>
        <w:jc w:val="both"/>
      </w:pPr>
      <w:r>
        <w:t xml:space="preserve">Имущество Вятскополянского района </w:t>
      </w:r>
      <w:r w:rsidR="00436BC7">
        <w:t xml:space="preserve"> </w:t>
      </w:r>
      <w:r>
        <w:t xml:space="preserve"> представляет собой: </w:t>
      </w:r>
    </w:p>
    <w:p w:rsidR="009C1633" w:rsidRDefault="009C1633" w:rsidP="009C1633">
      <w:pPr>
        <w:tabs>
          <w:tab w:val="left" w:pos="0"/>
        </w:tabs>
        <w:ind w:firstLine="851"/>
        <w:jc w:val="both"/>
      </w:pPr>
      <w:r>
        <w:t xml:space="preserve">                                                                                                             </w:t>
      </w:r>
      <w:r w:rsidR="004E53FE">
        <w:t xml:space="preserve"> </w:t>
      </w:r>
    </w:p>
    <w:tbl>
      <w:tblPr>
        <w:tblW w:w="9371" w:type="dxa"/>
        <w:tblInd w:w="93" w:type="dxa"/>
        <w:tblLayout w:type="fixed"/>
        <w:tblLook w:val="04A0"/>
      </w:tblPr>
      <w:tblGrid>
        <w:gridCol w:w="2283"/>
        <w:gridCol w:w="993"/>
        <w:gridCol w:w="850"/>
        <w:gridCol w:w="1276"/>
        <w:gridCol w:w="1134"/>
        <w:gridCol w:w="1417"/>
        <w:gridCol w:w="1418"/>
      </w:tblGrid>
      <w:tr w:rsidR="00467427" w:rsidRPr="00A5723D" w:rsidTr="00467427">
        <w:trPr>
          <w:trHeight w:val="551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Имущество МО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Кол</w:t>
            </w:r>
            <w:proofErr w:type="gramStart"/>
            <w:r w:rsidRPr="00A5723D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A5723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5723D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A5723D">
              <w:rPr>
                <w:b/>
                <w:bCs/>
                <w:sz w:val="20"/>
                <w:szCs w:val="20"/>
              </w:rPr>
              <w:t>бъектов (ед.)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Стоимость объектов (тыс. руб.) балансовая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Стоимость объектов (тыс. руб.) остаточная</w:t>
            </w:r>
          </w:p>
        </w:tc>
      </w:tr>
      <w:tr w:rsidR="00467427" w:rsidRPr="00A5723D" w:rsidTr="00467427">
        <w:trPr>
          <w:trHeight w:val="33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1D02AB">
            <w:pPr>
              <w:jc w:val="center"/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>201</w:t>
            </w:r>
            <w:r w:rsidR="001D02A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1D02AB">
            <w:pPr>
              <w:jc w:val="center"/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>201</w:t>
            </w:r>
            <w:r w:rsidR="001D02A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1D02AB">
            <w:pPr>
              <w:jc w:val="center"/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>201</w:t>
            </w:r>
            <w:r w:rsidR="001D02A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1D02AB">
            <w:pPr>
              <w:jc w:val="center"/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>201</w:t>
            </w:r>
            <w:r w:rsidR="001D02A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1D02AB">
            <w:pPr>
              <w:jc w:val="center"/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>201</w:t>
            </w:r>
            <w:r w:rsidR="001D02A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1D02AB">
            <w:pPr>
              <w:jc w:val="center"/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>201</w:t>
            </w:r>
            <w:r w:rsidR="001D02AB">
              <w:rPr>
                <w:sz w:val="20"/>
                <w:szCs w:val="20"/>
              </w:rPr>
              <w:t>6</w:t>
            </w:r>
          </w:p>
        </w:tc>
      </w:tr>
      <w:tr w:rsidR="00467427" w:rsidRPr="00A5723D" w:rsidTr="00467427">
        <w:trPr>
          <w:trHeight w:val="4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Всего имущества МО,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965230,5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974525,62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342111,67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349616,22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в казне, из него: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480931,15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489877,62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190798,53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199911,74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в аренде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137687,77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136049,54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135005,64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в безвозмездном пользовании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44491,96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44057,82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37115,91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DB6E54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36686,51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lastRenderedPageBreak/>
              <w:t xml:space="preserve">         -  не используется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28580,87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15495,77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16438,38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в оперативном управлении, из него: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484299,35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484648,0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147704,48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в аренде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638,02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в безвозмездном пользовании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5961,78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9661,41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3068,88</w:t>
            </w:r>
          </w:p>
        </w:tc>
      </w:tr>
      <w:tr w:rsidR="00467427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467427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 не используется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27" w:rsidRPr="00A5723D" w:rsidRDefault="00947818" w:rsidP="00CD65D7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47818" w:rsidRPr="00A5723D" w:rsidTr="00947818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в хозяйственном ведении, из него: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47818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в аренде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47818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в безвозмездном пользовании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47818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CD65D7">
            <w:pPr>
              <w:rPr>
                <w:sz w:val="20"/>
                <w:szCs w:val="20"/>
              </w:rPr>
            </w:pPr>
            <w:r w:rsidRPr="00A5723D">
              <w:rPr>
                <w:sz w:val="20"/>
                <w:szCs w:val="20"/>
              </w:rPr>
              <w:t xml:space="preserve">         -  не используется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947818" w:rsidRPr="00A5723D" w:rsidTr="00467427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CD65D7">
            <w:pPr>
              <w:rPr>
                <w:b/>
                <w:bCs/>
                <w:sz w:val="20"/>
                <w:szCs w:val="20"/>
              </w:rPr>
            </w:pPr>
            <w:r w:rsidRPr="00A5723D">
              <w:rPr>
                <w:b/>
                <w:bCs/>
                <w:sz w:val="20"/>
                <w:szCs w:val="20"/>
              </w:rPr>
              <w:t>Прочее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818" w:rsidRPr="00A5723D" w:rsidRDefault="00947818" w:rsidP="00BE57A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:rsidR="00CD65D7" w:rsidRDefault="00CD65D7" w:rsidP="00CD65D7">
      <w:pPr>
        <w:spacing w:line="360" w:lineRule="auto"/>
        <w:ind w:firstLine="851"/>
        <w:jc w:val="both"/>
      </w:pPr>
    </w:p>
    <w:p w:rsidR="00947818" w:rsidRDefault="00CD65D7" w:rsidP="00CD65D7">
      <w:pPr>
        <w:spacing w:line="360" w:lineRule="auto"/>
        <w:ind w:firstLine="851"/>
        <w:jc w:val="both"/>
      </w:pPr>
      <w:r>
        <w:t>Из выше представленной таблицы следует, что имущество муниципального района за 201</w:t>
      </w:r>
      <w:r w:rsidR="00947818">
        <w:t>6</w:t>
      </w:r>
      <w:r>
        <w:t xml:space="preserve"> год </w:t>
      </w:r>
      <w:r w:rsidR="006A6E30">
        <w:t xml:space="preserve">по сравнению с 2015 годом </w:t>
      </w:r>
      <w:r>
        <w:t xml:space="preserve">увеличилось на </w:t>
      </w:r>
      <w:r w:rsidR="00947818">
        <w:t>877</w:t>
      </w:r>
      <w:r>
        <w:t xml:space="preserve"> единиц. При этом </w:t>
      </w:r>
      <w:r w:rsidR="00947818">
        <w:t xml:space="preserve">балансовая </w:t>
      </w:r>
      <w:r>
        <w:t xml:space="preserve">стоимость имущества </w:t>
      </w:r>
      <w:r w:rsidR="00947818">
        <w:t>увелич</w:t>
      </w:r>
      <w:r>
        <w:t xml:space="preserve">илась на </w:t>
      </w:r>
      <w:r w:rsidR="00947818">
        <w:t>9295,12</w:t>
      </w:r>
      <w:r>
        <w:t xml:space="preserve"> тыс. руб. </w:t>
      </w:r>
    </w:p>
    <w:p w:rsidR="00947818" w:rsidRDefault="00947818" w:rsidP="00CD65D7">
      <w:pPr>
        <w:spacing w:line="360" w:lineRule="auto"/>
        <w:ind w:firstLine="851"/>
        <w:jc w:val="both"/>
      </w:pPr>
      <w:r>
        <w:t xml:space="preserve">Имущество, находящееся в казне, уменьшилось на 76 единиц, балансовая стоимость </w:t>
      </w:r>
      <w:r w:rsidR="006A6E30">
        <w:t xml:space="preserve">уменьшилась </w:t>
      </w:r>
      <w:r>
        <w:t>на 8946,47 тыс. руб.</w:t>
      </w:r>
      <w:r w:rsidR="006A6E30">
        <w:t xml:space="preserve"> Это</w:t>
      </w:r>
      <w:r w:rsidR="00D92F94">
        <w:t>т показатель</w:t>
      </w:r>
      <w:r w:rsidR="006A6E30">
        <w:t xml:space="preserve"> </w:t>
      </w:r>
      <w:r w:rsidR="00D92F94">
        <w:t xml:space="preserve">в основном </w:t>
      </w:r>
      <w:r w:rsidR="006A6E30">
        <w:t>обусловлен:</w:t>
      </w:r>
    </w:p>
    <w:p w:rsidR="006A6E30" w:rsidRDefault="006A6E30" w:rsidP="00CD65D7">
      <w:pPr>
        <w:spacing w:line="360" w:lineRule="auto"/>
        <w:ind w:firstLine="851"/>
        <w:jc w:val="both"/>
      </w:pPr>
      <w:r>
        <w:t>- уменьшением на 41 ед. неиспользуемого имущества</w:t>
      </w:r>
      <w:r w:rsidR="00F94F07">
        <w:t xml:space="preserve"> (например, продажа имущества, передача автобусов на ответственное хранение в ОАО «</w:t>
      </w:r>
      <w:proofErr w:type="spellStart"/>
      <w:r w:rsidR="00F94F07">
        <w:t>Краснополянская</w:t>
      </w:r>
      <w:proofErr w:type="spellEnd"/>
      <w:r w:rsidR="00F94F07">
        <w:t xml:space="preserve"> автоколонна»)</w:t>
      </w:r>
      <w:r>
        <w:t>;</w:t>
      </w:r>
    </w:p>
    <w:p w:rsidR="006A6E30" w:rsidRDefault="006A6E30" w:rsidP="00CD65D7">
      <w:pPr>
        <w:spacing w:line="360" w:lineRule="auto"/>
        <w:ind w:firstLine="851"/>
        <w:jc w:val="both"/>
      </w:pPr>
      <w:r>
        <w:t>- уменьшением на 6 ед. имущества, находящегося в аренде</w:t>
      </w:r>
      <w:r w:rsidR="006A7D38">
        <w:t>.</w:t>
      </w:r>
    </w:p>
    <w:p w:rsidR="006A6E30" w:rsidRDefault="00D92F94" w:rsidP="00CD65D7">
      <w:pPr>
        <w:spacing w:line="360" w:lineRule="auto"/>
        <w:ind w:firstLine="851"/>
        <w:jc w:val="both"/>
      </w:pPr>
      <w:r>
        <w:t xml:space="preserve"> </w:t>
      </w:r>
    </w:p>
    <w:p w:rsidR="00CD65D7" w:rsidRDefault="00CD65D7" w:rsidP="00CD65D7">
      <w:pPr>
        <w:spacing w:line="360" w:lineRule="auto"/>
        <w:ind w:firstLine="851"/>
        <w:jc w:val="both"/>
      </w:pPr>
      <w:r>
        <w:t>Имущество</w:t>
      </w:r>
      <w:r w:rsidR="00F20C44">
        <w:t>, находящееся</w:t>
      </w:r>
      <w:r>
        <w:t xml:space="preserve"> в оперативном управлении</w:t>
      </w:r>
      <w:r w:rsidR="00F20C44">
        <w:t xml:space="preserve">, </w:t>
      </w:r>
      <w:r>
        <w:t xml:space="preserve"> </w:t>
      </w:r>
      <w:r w:rsidR="00D92F94">
        <w:t>в 2016 год</w:t>
      </w:r>
      <w:r w:rsidR="00F20C44">
        <w:t xml:space="preserve">у </w:t>
      </w:r>
      <w:r w:rsidR="00D92F94">
        <w:t xml:space="preserve"> по сравнению с 2015 годом </w:t>
      </w:r>
      <w:r>
        <w:t xml:space="preserve">увеличилось на </w:t>
      </w:r>
      <w:r w:rsidR="00947818">
        <w:t>953</w:t>
      </w:r>
      <w:r>
        <w:t xml:space="preserve"> единицы, </w:t>
      </w:r>
      <w:r w:rsidR="00947818">
        <w:t xml:space="preserve">балансовая </w:t>
      </w:r>
      <w:r>
        <w:t xml:space="preserve">стоимость выросла на </w:t>
      </w:r>
      <w:r w:rsidR="00947818">
        <w:t>348,65</w:t>
      </w:r>
      <w:r>
        <w:t xml:space="preserve"> тыс. руб. </w:t>
      </w:r>
      <w:r w:rsidR="00947818">
        <w:t xml:space="preserve"> </w:t>
      </w:r>
    </w:p>
    <w:p w:rsidR="00CD65D7" w:rsidRDefault="00D92F94" w:rsidP="00CD65D7">
      <w:pPr>
        <w:spacing w:line="360" w:lineRule="auto"/>
        <w:ind w:firstLine="851"/>
        <w:jc w:val="both"/>
      </w:pPr>
      <w:r>
        <w:t xml:space="preserve"> </w:t>
      </w:r>
      <w:r w:rsidR="00CD65D7">
        <w:t>Наибольший удельный вес в общем имуществе по количеству объектов занимает имущество, находящееся в оперативном управлении, а именно на 201</w:t>
      </w:r>
      <w:r>
        <w:t>6</w:t>
      </w:r>
      <w:r w:rsidR="00CD65D7">
        <w:t xml:space="preserve"> год  - </w:t>
      </w:r>
      <w:r>
        <w:t>38135</w:t>
      </w:r>
      <w:r w:rsidR="00CD65D7">
        <w:t xml:space="preserve"> единиц или </w:t>
      </w:r>
      <w:r>
        <w:t>96</w:t>
      </w:r>
      <w:r w:rsidR="00CD65D7">
        <w:t xml:space="preserve">%, при этом </w:t>
      </w:r>
      <w:r>
        <w:t xml:space="preserve">балансовая </w:t>
      </w:r>
      <w:r w:rsidR="00CD65D7">
        <w:t xml:space="preserve">стоимость данного имущества в общей стоимости имущества составляет всего </w:t>
      </w:r>
      <w:r>
        <w:t>49,7</w:t>
      </w:r>
      <w:r w:rsidR="00CD65D7">
        <w:t xml:space="preserve"> %, остаточная стоимость составляет </w:t>
      </w:r>
      <w:r>
        <w:t>42,5</w:t>
      </w:r>
      <w:r w:rsidR="00CD65D7">
        <w:t>%.</w:t>
      </w:r>
    </w:p>
    <w:p w:rsidR="00CD65D7" w:rsidRDefault="00CD65D7" w:rsidP="00CD65D7">
      <w:pPr>
        <w:spacing w:line="360" w:lineRule="auto"/>
        <w:ind w:firstLine="851"/>
        <w:jc w:val="both"/>
      </w:pPr>
      <w:r>
        <w:t xml:space="preserve">Доля имущества казны по количеству объектов в общем имуществе района  составляет </w:t>
      </w:r>
      <w:r w:rsidR="00CB5FF3">
        <w:t>4</w:t>
      </w:r>
      <w:r>
        <w:t xml:space="preserve"> %, в стоимостном выражении доля составляет </w:t>
      </w:r>
      <w:r w:rsidR="00CB5FF3">
        <w:t>50,3</w:t>
      </w:r>
      <w:r>
        <w:t xml:space="preserve">%, по остаточной стоимости доля составляет </w:t>
      </w:r>
      <w:r w:rsidR="00CB5FF3">
        <w:t>57,5</w:t>
      </w:r>
      <w:r>
        <w:t>%.</w:t>
      </w:r>
    </w:p>
    <w:p w:rsidR="00166B33" w:rsidRDefault="00986BEA" w:rsidP="00CD65D7">
      <w:pPr>
        <w:spacing w:line="360" w:lineRule="auto"/>
        <w:ind w:firstLine="851"/>
        <w:jc w:val="both"/>
      </w:pPr>
      <w:r>
        <w:t xml:space="preserve"> </w:t>
      </w:r>
      <w:r w:rsidR="00CD65D7">
        <w:t xml:space="preserve">Значительную долю в имуществе казны </w:t>
      </w:r>
      <w:r>
        <w:t xml:space="preserve"> </w:t>
      </w:r>
      <w:r w:rsidR="00CD65D7">
        <w:t xml:space="preserve"> занимает неиспользуемое имущество, а именно </w:t>
      </w:r>
      <w:r>
        <w:t>5</w:t>
      </w:r>
      <w:r w:rsidR="00171E92">
        <w:t>5,6</w:t>
      </w:r>
      <w:r w:rsidR="00CD65D7">
        <w:t xml:space="preserve"> % или </w:t>
      </w:r>
      <w:r>
        <w:t>896</w:t>
      </w:r>
      <w:r w:rsidR="00CD65D7">
        <w:t xml:space="preserve"> единиц на сумму </w:t>
      </w:r>
      <w:r>
        <w:t>25262,51</w:t>
      </w:r>
      <w:r w:rsidR="00CD65D7">
        <w:t xml:space="preserve"> тыс. руб. </w:t>
      </w:r>
      <w:r>
        <w:t xml:space="preserve">в 2015 году и  55,7% или 855 единиц на сумму 28580,87 тыс. руб. в 2016 году. </w:t>
      </w:r>
      <w:r w:rsidR="00E64FD1">
        <w:t xml:space="preserve"> </w:t>
      </w:r>
      <w:r w:rsidR="00CD65D7">
        <w:t xml:space="preserve"> </w:t>
      </w:r>
      <w:proofErr w:type="gramStart"/>
      <w:r w:rsidR="00166B33">
        <w:t xml:space="preserve">К неиспользуемому муниципальному </w:t>
      </w:r>
      <w:r w:rsidR="002A2FE3">
        <w:t xml:space="preserve">недвижимому </w:t>
      </w:r>
      <w:r w:rsidR="00166B33">
        <w:t xml:space="preserve">имуществу </w:t>
      </w:r>
      <w:r w:rsidR="0094151E">
        <w:t xml:space="preserve">на 01.01.2016 года  </w:t>
      </w:r>
      <w:r w:rsidR="00E64FD1">
        <w:t xml:space="preserve"> </w:t>
      </w:r>
      <w:r w:rsidR="00166B33">
        <w:t>отнесено</w:t>
      </w:r>
      <w:r w:rsidR="00AE10BE">
        <w:t xml:space="preserve"> 15  </w:t>
      </w:r>
      <w:r w:rsidR="00166B33">
        <w:t xml:space="preserve"> объектов, в том числе: здание школы в </w:t>
      </w:r>
      <w:proofErr w:type="spellStart"/>
      <w:r w:rsidR="00865CB2">
        <w:t>пгт</w:t>
      </w:r>
      <w:proofErr w:type="spellEnd"/>
      <w:r w:rsidR="00865CB2">
        <w:t xml:space="preserve"> Красная Поляна и </w:t>
      </w:r>
      <w:r w:rsidR="00166B33">
        <w:t xml:space="preserve">д. </w:t>
      </w:r>
      <w:proofErr w:type="spellStart"/>
      <w:r w:rsidR="00166B33">
        <w:t>Ямышка</w:t>
      </w:r>
      <w:proofErr w:type="spellEnd"/>
      <w:r w:rsidR="00865CB2">
        <w:t xml:space="preserve">, помещения зданий школы в д. Виноградово и </w:t>
      </w:r>
      <w:r w:rsidR="00865CB2">
        <w:lastRenderedPageBreak/>
        <w:t>Казанка, административные помещения в д. Виноградово, нежил</w:t>
      </w:r>
      <w:r w:rsidR="0069497C">
        <w:t>ые</w:t>
      </w:r>
      <w:r w:rsidR="00865CB2">
        <w:t xml:space="preserve"> помещени</w:t>
      </w:r>
      <w:r w:rsidR="0069497C">
        <w:t>я</w:t>
      </w:r>
      <w:r w:rsidR="00865CB2">
        <w:t xml:space="preserve"> в </w:t>
      </w:r>
      <w:r w:rsidR="0069497C">
        <w:t xml:space="preserve">г. Сосновка и </w:t>
      </w:r>
      <w:r w:rsidR="00865CB2">
        <w:t xml:space="preserve">д. </w:t>
      </w:r>
      <w:proofErr w:type="spellStart"/>
      <w:r w:rsidR="00865CB2">
        <w:t>Киняусь</w:t>
      </w:r>
      <w:proofErr w:type="spellEnd"/>
      <w:r w:rsidR="0069497C">
        <w:t xml:space="preserve">, здание </w:t>
      </w:r>
      <w:r w:rsidR="00B23868">
        <w:t xml:space="preserve"> </w:t>
      </w:r>
      <w:r w:rsidR="0069497C">
        <w:t xml:space="preserve"> бывшей детской консультации в </w:t>
      </w:r>
      <w:proofErr w:type="spellStart"/>
      <w:r w:rsidR="0069497C">
        <w:t>пгт</w:t>
      </w:r>
      <w:proofErr w:type="spellEnd"/>
      <w:r w:rsidR="0069497C">
        <w:t xml:space="preserve"> Красная Поляна</w:t>
      </w:r>
      <w:r w:rsidR="00AE10BE">
        <w:t xml:space="preserve"> и т.д.</w:t>
      </w:r>
      <w:proofErr w:type="gramEnd"/>
    </w:p>
    <w:p w:rsidR="00E266CA" w:rsidRDefault="00E266CA" w:rsidP="00E266CA">
      <w:pPr>
        <w:spacing w:line="360" w:lineRule="auto"/>
        <w:ind w:firstLine="851"/>
        <w:jc w:val="both"/>
      </w:pPr>
      <w:r>
        <w:t>Вышеперечисленные объекты муниципального имущества не используются по причине отсутствия спроса и удаленности от центра.</w:t>
      </w:r>
    </w:p>
    <w:p w:rsidR="00AE10BE" w:rsidRDefault="00807065" w:rsidP="00CD65D7">
      <w:pPr>
        <w:spacing w:line="360" w:lineRule="auto"/>
        <w:ind w:firstLine="851"/>
        <w:jc w:val="both"/>
      </w:pPr>
      <w:r>
        <w:t>На 01.01.2017 года</w:t>
      </w:r>
      <w:r w:rsidR="00AE10BE">
        <w:t xml:space="preserve"> </w:t>
      </w:r>
      <w:r>
        <w:t xml:space="preserve"> </w:t>
      </w:r>
      <w:r w:rsidR="00AE10BE">
        <w:t xml:space="preserve">неиспользуемое </w:t>
      </w:r>
      <w:r w:rsidR="00271073">
        <w:t xml:space="preserve">недвижимое </w:t>
      </w:r>
      <w:r w:rsidR="00AE10BE">
        <w:t>имущество составляет 20 единиц, увеличение достигнуто за счет включения новых объектов таких, как:</w:t>
      </w:r>
    </w:p>
    <w:p w:rsidR="00AE10BE" w:rsidRDefault="00AE10BE" w:rsidP="00CD65D7">
      <w:pPr>
        <w:spacing w:line="360" w:lineRule="auto"/>
        <w:ind w:firstLine="851"/>
        <w:jc w:val="both"/>
      </w:pPr>
      <w:r>
        <w:t xml:space="preserve">- нежилые помещения и здание в количестве 3-х единиц в </w:t>
      </w:r>
      <w:proofErr w:type="gramStart"/>
      <w:r>
        <w:t>г</w:t>
      </w:r>
      <w:proofErr w:type="gramEnd"/>
      <w:r>
        <w:t>. Сосновка;</w:t>
      </w:r>
    </w:p>
    <w:p w:rsidR="00AE10BE" w:rsidRDefault="00AE10BE" w:rsidP="00CD65D7">
      <w:pPr>
        <w:spacing w:line="360" w:lineRule="auto"/>
        <w:ind w:firstLine="851"/>
        <w:jc w:val="both"/>
      </w:pPr>
      <w:r>
        <w:t xml:space="preserve">- помещения гаража в количестве 2-х единиц в </w:t>
      </w:r>
      <w:proofErr w:type="gramStart"/>
      <w:r>
        <w:t>г</w:t>
      </w:r>
      <w:proofErr w:type="gramEnd"/>
      <w:r>
        <w:t>. Вятские Поляны.</w:t>
      </w:r>
    </w:p>
    <w:p w:rsidR="00166B33" w:rsidRDefault="00BE348E" w:rsidP="00CD65D7">
      <w:pPr>
        <w:spacing w:line="360" w:lineRule="auto"/>
        <w:ind w:firstLine="851"/>
        <w:jc w:val="both"/>
      </w:pPr>
      <w:r>
        <w:t xml:space="preserve"> В 2016 году нежилое помещение в дер. Виноградово было включено в план приватизации, но не было приватизировано и осталось в казне.</w:t>
      </w:r>
    </w:p>
    <w:p w:rsidR="00BE348E" w:rsidRDefault="00BE348E" w:rsidP="00CD65D7">
      <w:pPr>
        <w:spacing w:line="360" w:lineRule="auto"/>
        <w:ind w:firstLine="851"/>
        <w:jc w:val="both"/>
      </w:pPr>
      <w:r>
        <w:t xml:space="preserve">В 2017 году в план приватизации  включено 3 объекта: нежилое помещение в </w:t>
      </w:r>
      <w:proofErr w:type="gramStart"/>
      <w:r>
        <w:t>г</w:t>
      </w:r>
      <w:proofErr w:type="gramEnd"/>
      <w:r>
        <w:t xml:space="preserve">. Сосновка, здание медпункта в дер. </w:t>
      </w:r>
      <w:proofErr w:type="spellStart"/>
      <w:r>
        <w:t>Чекашево</w:t>
      </w:r>
      <w:proofErr w:type="spellEnd"/>
      <w:r>
        <w:t xml:space="preserve"> и помещение гаража в г. Вятские Поляны.</w:t>
      </w:r>
    </w:p>
    <w:p w:rsidR="003658EB" w:rsidRDefault="00CD65D7" w:rsidP="003658EB">
      <w:pPr>
        <w:spacing w:line="360" w:lineRule="auto"/>
        <w:ind w:firstLine="851"/>
        <w:jc w:val="both"/>
      </w:pPr>
      <w:proofErr w:type="gramStart"/>
      <w:r>
        <w:t>Имущество казны так же сдаётся в аренду: в 201</w:t>
      </w:r>
      <w:r w:rsidR="00E266CA">
        <w:t>5</w:t>
      </w:r>
      <w:r>
        <w:t xml:space="preserve"> году количество единиц составля</w:t>
      </w:r>
      <w:r w:rsidR="00E266CA">
        <w:t>ло</w:t>
      </w:r>
      <w:r>
        <w:t xml:space="preserve"> </w:t>
      </w:r>
      <w:r w:rsidR="00E266CA">
        <w:t>57</w:t>
      </w:r>
      <w:r>
        <w:t xml:space="preserve"> штук на сумму </w:t>
      </w:r>
      <w:r w:rsidR="00E266CA">
        <w:t xml:space="preserve">137687,77 </w:t>
      </w:r>
      <w:r>
        <w:t xml:space="preserve">тыс. руб. По сравнению с </w:t>
      </w:r>
      <w:r w:rsidR="00E266CA">
        <w:t>предыдущим периодом в 2016 году</w:t>
      </w:r>
      <w:r>
        <w:t xml:space="preserve"> произошло снижение на </w:t>
      </w:r>
      <w:r w:rsidR="00E266CA">
        <w:t xml:space="preserve"> </w:t>
      </w:r>
      <w:r>
        <w:t xml:space="preserve">6 единиц, при этом стоимость сдаваемого в аренду имущества казны </w:t>
      </w:r>
      <w:r w:rsidR="00E266CA">
        <w:t>уменьшилась</w:t>
      </w:r>
      <w:r>
        <w:t xml:space="preserve"> на </w:t>
      </w:r>
      <w:r w:rsidR="00E266CA">
        <w:t>1638,23</w:t>
      </w:r>
      <w:r>
        <w:t xml:space="preserve"> тыс. руб. </w:t>
      </w:r>
      <w:r w:rsidR="001C3A53">
        <w:t xml:space="preserve"> </w:t>
      </w:r>
      <w:r w:rsidR="003658EB">
        <w:t>Доля  имущества в аренде  в общем объёме имущества казны составляет 3 %.</w:t>
      </w:r>
      <w:proofErr w:type="gramEnd"/>
    </w:p>
    <w:p w:rsidR="00CD65D7" w:rsidRDefault="00CD65D7" w:rsidP="00CD65D7">
      <w:pPr>
        <w:spacing w:line="360" w:lineRule="auto"/>
        <w:ind w:firstLine="851"/>
        <w:jc w:val="both"/>
      </w:pPr>
      <w:r>
        <w:t>Находящееся в  безвозмездном пользовании имущество казны в 201</w:t>
      </w:r>
      <w:r w:rsidR="001C3A53">
        <w:t>5</w:t>
      </w:r>
      <w:r>
        <w:t xml:space="preserve"> году составляет </w:t>
      </w:r>
      <w:r w:rsidR="001C3A53">
        <w:t>60</w:t>
      </w:r>
      <w:r>
        <w:t xml:space="preserve"> единиц на сумму </w:t>
      </w:r>
      <w:r w:rsidR="001C3A53">
        <w:t>44491,96</w:t>
      </w:r>
      <w:r>
        <w:t xml:space="preserve"> тыс. руб.  </w:t>
      </w:r>
      <w:r w:rsidR="001C3A53">
        <w:t>В</w:t>
      </w:r>
      <w:r>
        <w:t xml:space="preserve"> 201</w:t>
      </w:r>
      <w:r w:rsidR="001C3A53">
        <w:t>6</w:t>
      </w:r>
      <w:r>
        <w:t xml:space="preserve"> год</w:t>
      </w:r>
      <w:r w:rsidR="001C3A53">
        <w:t>у</w:t>
      </w:r>
      <w:r>
        <w:t xml:space="preserve"> произошло </w:t>
      </w:r>
      <w:r w:rsidR="001C3A53">
        <w:t>увелич</w:t>
      </w:r>
      <w:r>
        <w:t xml:space="preserve">ение на </w:t>
      </w:r>
      <w:r w:rsidR="001C3A53">
        <w:t>23</w:t>
      </w:r>
      <w:r>
        <w:t xml:space="preserve"> единиц</w:t>
      </w:r>
      <w:r w:rsidR="001C3A53">
        <w:t>ы</w:t>
      </w:r>
      <w:r>
        <w:t>. При этом стоимость имущества, находящегося в безвозмездном пользовании, у</w:t>
      </w:r>
      <w:r w:rsidR="001C3A53">
        <w:t>меньш</w:t>
      </w:r>
      <w:r>
        <w:t xml:space="preserve">илась на </w:t>
      </w:r>
      <w:r w:rsidR="001C3A53">
        <w:t>434,14</w:t>
      </w:r>
      <w:r>
        <w:t xml:space="preserve"> тыс. руб. Доля данного имущества в общем объёме имущества казны составляет </w:t>
      </w:r>
      <w:r w:rsidR="003658EB">
        <w:t>6</w:t>
      </w:r>
      <w:r>
        <w:t xml:space="preserve"> %.</w:t>
      </w:r>
    </w:p>
    <w:p w:rsidR="001B25D4" w:rsidRDefault="009C1633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Для проведения целенаправленных мероприятий в части эффективного использования муниципального имущества управлением земельно-имущественных отношений администрации Вятскополянского района ежегодно разрабатывается муниципальная целевая программа, которая утверждается постановлением администрации района. </w:t>
      </w:r>
      <w:r w:rsidR="00D05C77">
        <w:t>Ежеквартально в течение финансового года информация о реализации и финансировании основных мероприятий программы предоставляется в управление экономического развития и управление финансов администрации района для контроля и  корректировки проводимых мероприятий по использованию имущества.</w:t>
      </w:r>
      <w:r w:rsidR="00E0034C">
        <w:t xml:space="preserve">  </w:t>
      </w:r>
      <w:r w:rsidR="00801783">
        <w:t xml:space="preserve">По окончании года    консультативный совет администрации района принимает годовой отчет о ходе реализации и оценке эффективности реализации муниципальной целевой программы. Принятое решение оформляется в форме распоряжения администрации района. </w:t>
      </w:r>
      <w:r w:rsidR="00801783" w:rsidRPr="00DB4E46">
        <w:t xml:space="preserve">Так, по итогам работы МЦП «Управление муниципальным имуществом в Вятскополянском муниципальном районе» </w:t>
      </w:r>
      <w:r w:rsidR="00E02AC1" w:rsidRPr="00DB4E46">
        <w:t>в 201</w:t>
      </w:r>
      <w:r w:rsidR="00C05F52">
        <w:t>5</w:t>
      </w:r>
      <w:r w:rsidR="00E02AC1" w:rsidRPr="00DB4E46">
        <w:t xml:space="preserve"> </w:t>
      </w:r>
      <w:r w:rsidR="00DB4E46">
        <w:t>и в 201</w:t>
      </w:r>
      <w:r w:rsidR="00C05F52">
        <w:t>6</w:t>
      </w:r>
      <w:r w:rsidR="00DB4E46">
        <w:t xml:space="preserve"> </w:t>
      </w:r>
      <w:r w:rsidR="00E02AC1" w:rsidRPr="00DB4E46">
        <w:t>год</w:t>
      </w:r>
      <w:r w:rsidR="00DB4E46">
        <w:t>ах</w:t>
      </w:r>
      <w:r w:rsidR="001B25D4">
        <w:t xml:space="preserve"> проведены заседания консультативного </w:t>
      </w:r>
      <w:r w:rsidR="001B25D4">
        <w:lastRenderedPageBreak/>
        <w:t>совета по разработке муниципальных программ по следующим показателям эффективности:</w:t>
      </w:r>
    </w:p>
    <w:p w:rsidR="001B25D4" w:rsidRDefault="001B25D4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поступление доходов в бюджет от использования муниципального имущества;</w:t>
      </w:r>
    </w:p>
    <w:p w:rsidR="001B25D4" w:rsidRDefault="001B25D4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количество объектов муниципальной собственности, дополнительно вовлеченных в хозяйственный оборот;</w:t>
      </w:r>
    </w:p>
    <w:p w:rsidR="001B25D4" w:rsidRDefault="001B25D4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арендуемая площадь недвижимого имущества;</w:t>
      </w:r>
    </w:p>
    <w:p w:rsidR="001B25D4" w:rsidRDefault="001B25D4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актуализация сведений о земельных участках, являющихся предметом налогообложения;</w:t>
      </w:r>
    </w:p>
    <w:p w:rsidR="001B25D4" w:rsidRDefault="001B25D4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- количество объектов муниципальной собственности, право </w:t>
      </w:r>
      <w:proofErr w:type="gramStart"/>
      <w:r>
        <w:t>собственности</w:t>
      </w:r>
      <w:proofErr w:type="gramEnd"/>
      <w:r>
        <w:t xml:space="preserve"> на которые зарегистрировано в установленном порядке;</w:t>
      </w:r>
    </w:p>
    <w:p w:rsidR="001B25D4" w:rsidRDefault="001B25D4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формирование земельных участков, в том числе под многоквартирными домами.</w:t>
      </w:r>
    </w:p>
    <w:p w:rsidR="009C1633" w:rsidRPr="00DB4E46" w:rsidRDefault="003E5338" w:rsidP="009C163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Подводя итоги, </w:t>
      </w:r>
      <w:r w:rsidRPr="003E5338">
        <w:t xml:space="preserve"> </w:t>
      </w:r>
      <w:r>
        <w:t xml:space="preserve">консультативный совет, </w:t>
      </w:r>
      <w:r w:rsidR="00DB4E46">
        <w:t xml:space="preserve"> «учитывая выполнение всех показателей</w:t>
      </w:r>
      <w:r w:rsidR="00EC1EA5" w:rsidRPr="00DB4E46">
        <w:t xml:space="preserve"> </w:t>
      </w:r>
      <w:r w:rsidR="00DB4E46">
        <w:t>и полное освоение бюджетных средств»</w:t>
      </w:r>
      <w:r>
        <w:t>,</w:t>
      </w:r>
      <w:r w:rsidR="00DB4E46">
        <w:t xml:space="preserve"> призна</w:t>
      </w:r>
      <w:r>
        <w:t>л реализацию программ</w:t>
      </w:r>
      <w:r w:rsidR="00DB4E46">
        <w:t xml:space="preserve"> эффективн</w:t>
      </w:r>
      <w:r>
        <w:t>ой</w:t>
      </w:r>
      <w:r w:rsidR="00DB4E46">
        <w:t xml:space="preserve"> и целесообразн</w:t>
      </w:r>
      <w:r>
        <w:t>ой</w:t>
      </w:r>
      <w:r w:rsidR="00DB4E46">
        <w:t xml:space="preserve"> к финансированию в полном объеме.</w:t>
      </w:r>
      <w:r w:rsidR="001B25D4">
        <w:t xml:space="preserve"> </w:t>
      </w:r>
    </w:p>
    <w:p w:rsidR="00C05F52" w:rsidRDefault="00EC1EA5" w:rsidP="00EC1EA5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>
        <w:t>Контроль за</w:t>
      </w:r>
      <w:proofErr w:type="gramEnd"/>
      <w:r>
        <w:t xml:space="preserve">  использованием муниципального имущества управлением земельно-имущественных отношений администрации района осуществляется в соответствии с  Порядком проведения контрольных мероприятий </w:t>
      </w:r>
      <w:r w:rsidR="000E6F96">
        <w:t xml:space="preserve">и </w:t>
      </w:r>
      <w:r>
        <w:t xml:space="preserve">графиком проверок </w:t>
      </w:r>
      <w:r w:rsidR="000E6F96">
        <w:t xml:space="preserve">на финансовый год. </w:t>
      </w:r>
    </w:p>
    <w:p w:rsidR="00587CE9" w:rsidRDefault="00C05F52" w:rsidP="00C05F52">
      <w:pPr>
        <w:spacing w:line="360" w:lineRule="auto"/>
        <w:ind w:firstLine="900"/>
        <w:jc w:val="both"/>
      </w:pPr>
      <w:r>
        <w:t>В 2015 году УЗИО было проведено 10 плановых и 5 внеплановых мероприятий</w:t>
      </w:r>
      <w:r w:rsidR="000E6F96">
        <w:t>, из них</w:t>
      </w:r>
      <w:r w:rsidR="00587CE9">
        <w:t xml:space="preserve">: инвентаризация муниципального имущества, </w:t>
      </w:r>
      <w:r>
        <w:t xml:space="preserve">осмотры   нежилых помещений  и </w:t>
      </w:r>
      <w:proofErr w:type="gramStart"/>
      <w:r>
        <w:t>контроль за</w:t>
      </w:r>
      <w:proofErr w:type="gramEnd"/>
      <w:r>
        <w:t xml:space="preserve"> использованием муниципального имущества, закрепленного на праве оперативного управления.   </w:t>
      </w:r>
      <w:r w:rsidR="00587CE9">
        <w:t xml:space="preserve">  В результате проведенных проверок управлением земельно-имущественных отношений </w:t>
      </w:r>
      <w:r>
        <w:t xml:space="preserve"> даны рекомендации   для дальнейшей работы и предложено устранить 20 нарушений, из них исполнено учреждениями – 14. </w:t>
      </w:r>
      <w:r w:rsidR="00587CE9">
        <w:t xml:space="preserve"> </w:t>
      </w:r>
    </w:p>
    <w:p w:rsidR="00C05F52" w:rsidRDefault="00C05F52" w:rsidP="00C05F52">
      <w:pPr>
        <w:spacing w:line="360" w:lineRule="auto"/>
        <w:ind w:firstLine="851"/>
        <w:jc w:val="both"/>
      </w:pPr>
      <w:r>
        <w:t xml:space="preserve"> В 2016 году были проведены 5   проверок использования нежилых помещений и 8   проверок сохранности и использования по назначению муниципального имущества, закреплённого на праве оперативного управления.  По итогам  проверок были выявлены 15   нарушений использования муниципального имущества, из которых   устранены только 5   нарушений.</w:t>
      </w:r>
    </w:p>
    <w:p w:rsidR="006F74C3" w:rsidRDefault="006F74C3" w:rsidP="00C16F9F">
      <w:pPr>
        <w:tabs>
          <w:tab w:val="left" w:pos="0"/>
        </w:tabs>
        <w:spacing w:line="360" w:lineRule="auto"/>
        <w:ind w:firstLine="851"/>
        <w:contextualSpacing/>
        <w:jc w:val="center"/>
      </w:pPr>
    </w:p>
    <w:p w:rsidR="002213A6" w:rsidRDefault="00C16F9F" w:rsidP="00C73479">
      <w:pPr>
        <w:tabs>
          <w:tab w:val="left" w:pos="0"/>
        </w:tabs>
        <w:ind w:firstLine="851"/>
        <w:contextualSpacing/>
        <w:jc w:val="center"/>
        <w:rPr>
          <w:bCs/>
          <w:color w:val="000000"/>
        </w:rPr>
      </w:pPr>
      <w:r>
        <w:rPr>
          <w:b/>
        </w:rPr>
        <w:t xml:space="preserve">Анализ структуры и динамики задолженности по налоговым </w:t>
      </w:r>
      <w:r w:rsidR="00517512">
        <w:rPr>
          <w:b/>
        </w:rPr>
        <w:t xml:space="preserve"> </w:t>
      </w:r>
      <w:r>
        <w:rPr>
          <w:b/>
        </w:rPr>
        <w:t xml:space="preserve"> доходам</w:t>
      </w:r>
      <w:r w:rsidR="00E85EC7">
        <w:rPr>
          <w:b/>
        </w:rPr>
        <w:t xml:space="preserve"> в бюджет Вятскополянского района</w:t>
      </w:r>
    </w:p>
    <w:p w:rsidR="00286677" w:rsidRPr="00F239B3" w:rsidRDefault="00286677" w:rsidP="00286677">
      <w:pPr>
        <w:jc w:val="right"/>
        <w:rPr>
          <w:bCs/>
          <w:color w:val="000000"/>
        </w:rPr>
      </w:pPr>
      <w:r>
        <w:rPr>
          <w:bCs/>
          <w:color w:val="000000"/>
        </w:rPr>
        <w:t>т</w:t>
      </w:r>
      <w:r w:rsidRPr="00F239B3">
        <w:rPr>
          <w:bCs/>
          <w:color w:val="000000"/>
        </w:rPr>
        <w:t>ыс.</w:t>
      </w:r>
      <w:r>
        <w:rPr>
          <w:bCs/>
          <w:color w:val="000000"/>
        </w:rPr>
        <w:t xml:space="preserve"> </w:t>
      </w:r>
      <w:r w:rsidRPr="00F239B3">
        <w:rPr>
          <w:bCs/>
          <w:color w:val="000000"/>
        </w:rPr>
        <w:t>руб.</w:t>
      </w:r>
    </w:p>
    <w:tbl>
      <w:tblPr>
        <w:tblW w:w="10304" w:type="dxa"/>
        <w:tblInd w:w="-318" w:type="dxa"/>
        <w:tblLayout w:type="fixed"/>
        <w:tblLook w:val="04A0"/>
      </w:tblPr>
      <w:tblGrid>
        <w:gridCol w:w="1173"/>
        <w:gridCol w:w="773"/>
        <w:gridCol w:w="772"/>
        <w:gridCol w:w="773"/>
        <w:gridCol w:w="645"/>
        <w:gridCol w:w="772"/>
        <w:gridCol w:w="760"/>
        <w:gridCol w:w="773"/>
        <w:gridCol w:w="772"/>
        <w:gridCol w:w="773"/>
        <w:gridCol w:w="772"/>
        <w:gridCol w:w="774"/>
        <w:gridCol w:w="772"/>
      </w:tblGrid>
      <w:tr w:rsidR="00286677" w:rsidRPr="002775AC" w:rsidTr="003E5B9F">
        <w:trPr>
          <w:trHeight w:val="293"/>
        </w:trPr>
        <w:tc>
          <w:tcPr>
            <w:tcW w:w="1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449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677" w:rsidRPr="002775AC" w:rsidRDefault="00286677" w:rsidP="00434E3E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на начало 201</w:t>
            </w:r>
            <w:r w:rsidR="00434E3E">
              <w:rPr>
                <w:color w:val="000000"/>
                <w:sz w:val="18"/>
                <w:szCs w:val="18"/>
              </w:rPr>
              <w:t>5</w:t>
            </w:r>
            <w:r w:rsidRPr="002775AC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463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6677" w:rsidRPr="002775AC" w:rsidRDefault="00286677" w:rsidP="00434E3E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на начало 201</w:t>
            </w:r>
            <w:r w:rsidR="00434E3E">
              <w:rPr>
                <w:color w:val="000000"/>
                <w:sz w:val="18"/>
                <w:szCs w:val="18"/>
              </w:rPr>
              <w:t>6</w:t>
            </w:r>
            <w:r w:rsidRPr="002775AC">
              <w:rPr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286677" w:rsidRPr="002775AC" w:rsidTr="00434E3E">
        <w:trPr>
          <w:trHeight w:val="41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Задолженность всего (гр.3+7)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Задолженность по пеням и налого</w:t>
            </w:r>
            <w:r w:rsidRPr="002775AC">
              <w:rPr>
                <w:color w:val="000000"/>
                <w:sz w:val="18"/>
                <w:szCs w:val="18"/>
              </w:rPr>
              <w:lastRenderedPageBreak/>
              <w:t>вым санкциям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lastRenderedPageBreak/>
              <w:t>Задолженность всего (гр.9+13)</w:t>
            </w:r>
          </w:p>
        </w:tc>
        <w:tc>
          <w:tcPr>
            <w:tcW w:w="30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Задолженность по налогам и сборам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Задолженность по пеням и налого</w:t>
            </w:r>
            <w:r w:rsidRPr="002775AC">
              <w:rPr>
                <w:color w:val="000000"/>
                <w:sz w:val="18"/>
                <w:szCs w:val="18"/>
              </w:rPr>
              <w:lastRenderedPageBreak/>
              <w:t>вым санкциям</w:t>
            </w:r>
          </w:p>
        </w:tc>
      </w:tr>
      <w:tr w:rsidR="00286677" w:rsidRPr="002775AC" w:rsidTr="00434E3E">
        <w:trPr>
          <w:trHeight w:val="66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Всего (гр.4+5+6)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Возможная к взысканию задолженность, в том числе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Невозможная к взыска</w:t>
            </w:r>
            <w:r w:rsidRPr="002775AC">
              <w:rPr>
                <w:color w:val="000000"/>
                <w:sz w:val="18"/>
                <w:szCs w:val="18"/>
              </w:rPr>
              <w:lastRenderedPageBreak/>
              <w:t>нию задолженность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Всего (гр.10+11+12)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Возможная к взысканию задолженность, в том числе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Невозможная к взыска</w:t>
            </w:r>
            <w:r w:rsidRPr="002775AC">
              <w:rPr>
                <w:color w:val="000000"/>
                <w:sz w:val="18"/>
                <w:szCs w:val="18"/>
              </w:rPr>
              <w:lastRenderedPageBreak/>
              <w:t>нию задолженность</w:t>
            </w: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</w:tr>
      <w:tr w:rsidR="00286677" w:rsidRPr="002775AC" w:rsidTr="00434E3E">
        <w:trPr>
          <w:trHeight w:val="660"/>
        </w:trPr>
        <w:tc>
          <w:tcPr>
            <w:tcW w:w="11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Недоимка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Урегулированная задолженность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Недоимка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Урегулированная задолженность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677" w:rsidRPr="002775AC" w:rsidRDefault="00286677" w:rsidP="00B93048">
            <w:pPr>
              <w:rPr>
                <w:color w:val="000000"/>
                <w:sz w:val="18"/>
                <w:szCs w:val="18"/>
              </w:rPr>
            </w:pPr>
          </w:p>
        </w:tc>
      </w:tr>
      <w:tr w:rsidR="00286677" w:rsidRPr="002775AC" w:rsidTr="00434E3E">
        <w:trPr>
          <w:trHeight w:val="337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286677" w:rsidP="00B93048">
            <w:pPr>
              <w:jc w:val="center"/>
              <w:rPr>
                <w:color w:val="000000"/>
                <w:sz w:val="18"/>
                <w:szCs w:val="18"/>
              </w:rPr>
            </w:pPr>
            <w:r w:rsidRPr="002775A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86677" w:rsidRPr="002775AC" w:rsidTr="00434E3E">
        <w:trPr>
          <w:trHeight w:val="57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6677" w:rsidRPr="002775AC" w:rsidRDefault="00286677" w:rsidP="00B93048">
            <w:pPr>
              <w:rPr>
                <w:sz w:val="18"/>
                <w:szCs w:val="18"/>
              </w:rPr>
            </w:pPr>
            <w:r w:rsidRPr="002775AC">
              <w:rPr>
                <w:sz w:val="18"/>
                <w:szCs w:val="18"/>
              </w:rPr>
              <w:t>по федеральным налогам и сборам (всего), в том числе: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1322,2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677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</w:t>
            </w:r>
          </w:p>
        </w:tc>
      </w:tr>
      <w:tr w:rsidR="00803EB9" w:rsidRPr="002775AC" w:rsidTr="00434E3E">
        <w:trPr>
          <w:trHeight w:val="293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Pr="002775AC" w:rsidRDefault="00803EB9" w:rsidP="00B93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НДФЛ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1349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156,4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1322,2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181,6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712,4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E06E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</w:t>
            </w:r>
          </w:p>
        </w:tc>
      </w:tr>
      <w:tr w:rsidR="00803EB9" w:rsidRPr="002775AC" w:rsidTr="00434E3E">
        <w:trPr>
          <w:trHeight w:val="586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Pr="002775AC" w:rsidRDefault="00803EB9" w:rsidP="0043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налогам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спец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r w:rsidRPr="002775AC">
              <w:rPr>
                <w:sz w:val="18"/>
                <w:szCs w:val="18"/>
              </w:rPr>
              <w:t>налоговым режимом</w:t>
            </w:r>
            <w:r>
              <w:rPr>
                <w:sz w:val="18"/>
                <w:szCs w:val="18"/>
              </w:rPr>
              <w:t>, в т.ч.: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928,5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332,5</w:t>
            </w:r>
          </w:p>
        </w:tc>
      </w:tr>
      <w:tr w:rsidR="00803EB9" w:rsidRPr="002775AC" w:rsidTr="00434E3E">
        <w:trPr>
          <w:trHeight w:val="542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Pr="002775AC" w:rsidRDefault="00803EB9" w:rsidP="00B93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УСНО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</w:tr>
      <w:tr w:rsidR="00803EB9" w:rsidRPr="002775AC" w:rsidTr="00434E3E">
        <w:trPr>
          <w:trHeight w:val="556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Pr="002775AC" w:rsidRDefault="00803EB9" w:rsidP="00B93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ЕНВД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803EB9" w:rsidRPr="002775AC" w:rsidTr="00434E3E">
        <w:trPr>
          <w:trHeight w:val="469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Pr="002775AC" w:rsidRDefault="00803EB9" w:rsidP="00B930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ЕСХН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2775AC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</w:tr>
      <w:tr w:rsidR="00803EB9" w:rsidRPr="002775AC" w:rsidTr="00434E3E">
        <w:trPr>
          <w:trHeight w:val="469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Default="00803EB9" w:rsidP="00434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налогу на имущество </w:t>
            </w:r>
            <w:proofErr w:type="spellStart"/>
            <w:r>
              <w:rPr>
                <w:sz w:val="18"/>
                <w:szCs w:val="18"/>
              </w:rPr>
              <w:t>орг-ций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299,8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529,6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Default="00803EB9" w:rsidP="00B93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803EB9" w:rsidRPr="002775AC" w:rsidTr="00434E3E">
        <w:trPr>
          <w:trHeight w:val="469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03EB9" w:rsidRPr="003E7330" w:rsidRDefault="00803EB9" w:rsidP="00B93048">
            <w:pPr>
              <w:rPr>
                <w:b/>
                <w:color w:val="000000"/>
                <w:sz w:val="18"/>
                <w:szCs w:val="18"/>
              </w:rPr>
            </w:pPr>
          </w:p>
          <w:p w:rsidR="00803EB9" w:rsidRPr="003E7330" w:rsidRDefault="00803EB9" w:rsidP="00B93048">
            <w:pPr>
              <w:rPr>
                <w:b/>
                <w:sz w:val="18"/>
                <w:szCs w:val="18"/>
              </w:rPr>
            </w:pPr>
            <w:r w:rsidRPr="003E7330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2835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2138,8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638,6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902,2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696,2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3257,8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2440,1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775,2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EB9" w:rsidRPr="003E7330" w:rsidRDefault="00803EB9" w:rsidP="00B9304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817,7</w:t>
            </w:r>
          </w:p>
        </w:tc>
      </w:tr>
    </w:tbl>
    <w:p w:rsidR="00286677" w:rsidRDefault="00286677" w:rsidP="00286677">
      <w:pPr>
        <w:spacing w:line="360" w:lineRule="auto"/>
      </w:pPr>
    </w:p>
    <w:p w:rsidR="009C698A" w:rsidRDefault="009C698A" w:rsidP="009C698A">
      <w:pPr>
        <w:spacing w:line="360" w:lineRule="auto"/>
        <w:ind w:firstLine="851"/>
      </w:pPr>
      <w:r>
        <w:t xml:space="preserve">Из представленных данных на начало 2017 года следует, что задолженность составляет </w:t>
      </w:r>
      <w:r w:rsidR="00E85EC7">
        <w:t>2717,8</w:t>
      </w:r>
      <w:r>
        <w:t xml:space="preserve"> тыс. руб., в том числе: </w:t>
      </w:r>
    </w:p>
    <w:p w:rsidR="009C698A" w:rsidRDefault="009C698A" w:rsidP="009C698A">
      <w:pPr>
        <w:spacing w:line="360" w:lineRule="auto"/>
        <w:ind w:firstLine="851"/>
      </w:pPr>
      <w:r>
        <w:t xml:space="preserve"> - по НДФЛ – </w:t>
      </w:r>
      <w:r w:rsidR="00E85EC7">
        <w:t>1293</w:t>
      </w:r>
      <w:r>
        <w:t>,0 тыс. руб.;</w:t>
      </w:r>
    </w:p>
    <w:p w:rsidR="009C698A" w:rsidRDefault="009C698A" w:rsidP="009C698A">
      <w:pPr>
        <w:spacing w:line="360" w:lineRule="auto"/>
        <w:ind w:firstLine="851"/>
      </w:pPr>
      <w:r>
        <w:t>- по УСНО – 410,0 тыс. руб.;</w:t>
      </w:r>
    </w:p>
    <w:p w:rsidR="009C698A" w:rsidRDefault="009C698A" w:rsidP="009C698A">
      <w:pPr>
        <w:spacing w:line="360" w:lineRule="auto"/>
        <w:ind w:firstLine="851"/>
      </w:pPr>
      <w:r>
        <w:t>- по ЕНВД – 173,0 тыс. руб.;</w:t>
      </w:r>
    </w:p>
    <w:p w:rsidR="009C698A" w:rsidRDefault="009C698A" w:rsidP="009C698A">
      <w:pPr>
        <w:spacing w:line="360" w:lineRule="auto"/>
        <w:ind w:firstLine="851"/>
      </w:pPr>
      <w:r>
        <w:t xml:space="preserve">- по ЕСХН – </w:t>
      </w:r>
      <w:r w:rsidR="00E85EC7">
        <w:t>2</w:t>
      </w:r>
      <w:r>
        <w:t>0,0 тыс. руб.;</w:t>
      </w:r>
    </w:p>
    <w:p w:rsidR="009C698A" w:rsidRDefault="009C698A" w:rsidP="009C698A">
      <w:pPr>
        <w:spacing w:line="360" w:lineRule="auto"/>
        <w:ind w:firstLine="851"/>
      </w:pPr>
      <w:r>
        <w:t xml:space="preserve">- по налогу на имущество организаций – </w:t>
      </w:r>
      <w:r w:rsidR="00E85EC7">
        <w:t>821,8</w:t>
      </w:r>
      <w:r>
        <w:t xml:space="preserve"> тыс. руб.</w:t>
      </w:r>
      <w:r w:rsidR="00E85EC7">
        <w:t xml:space="preserve"> </w:t>
      </w:r>
    </w:p>
    <w:p w:rsidR="00D87D38" w:rsidRDefault="00E85EC7" w:rsidP="00155F04">
      <w:pPr>
        <w:spacing w:line="360" w:lineRule="auto"/>
        <w:ind w:firstLine="851"/>
        <w:jc w:val="both"/>
      </w:pPr>
      <w:r>
        <w:t xml:space="preserve"> </w:t>
      </w:r>
      <w:r w:rsidR="00286677">
        <w:t xml:space="preserve">По </w:t>
      </w:r>
      <w:r w:rsidR="00D87D38">
        <w:t xml:space="preserve">приведенным </w:t>
      </w:r>
      <w:r w:rsidR="00286677">
        <w:t>данным таблицы</w:t>
      </w:r>
      <w:r w:rsidR="00D87D38">
        <w:t xml:space="preserve"> и текста </w:t>
      </w:r>
      <w:r w:rsidR="00286677">
        <w:t>следует, что задолженность в целом за 201</w:t>
      </w:r>
      <w:r w:rsidR="00D87D38">
        <w:t>5</w:t>
      </w:r>
      <w:r w:rsidR="00286677">
        <w:t xml:space="preserve"> год выросла на </w:t>
      </w:r>
      <w:r w:rsidR="004374BF">
        <w:t>422,8</w:t>
      </w:r>
      <w:r w:rsidR="00286677">
        <w:t xml:space="preserve"> тыс.</w:t>
      </w:r>
      <w:r w:rsidR="00517512">
        <w:t xml:space="preserve"> </w:t>
      </w:r>
      <w:r w:rsidR="00286677">
        <w:t xml:space="preserve">руб. или на </w:t>
      </w:r>
      <w:r w:rsidR="004374BF">
        <w:t>14,9</w:t>
      </w:r>
      <w:r w:rsidR="00286677">
        <w:t xml:space="preserve"> % по сравнению с 201</w:t>
      </w:r>
      <w:r w:rsidR="00D87D38">
        <w:t>4</w:t>
      </w:r>
      <w:r w:rsidR="00286677">
        <w:t xml:space="preserve"> годом</w:t>
      </w:r>
      <w:r w:rsidR="00D87D38">
        <w:t>, задолженность за 2016 год по сравнению с 2015 годом у</w:t>
      </w:r>
      <w:r w:rsidR="004374BF">
        <w:t>меньш</w:t>
      </w:r>
      <w:r w:rsidR="00D87D38">
        <w:t xml:space="preserve">илась </w:t>
      </w:r>
      <w:proofErr w:type="gramStart"/>
      <w:r w:rsidR="00D87D38">
        <w:t>на</w:t>
      </w:r>
      <w:proofErr w:type="gramEnd"/>
      <w:r w:rsidR="00D87D38">
        <w:t xml:space="preserve"> </w:t>
      </w:r>
      <w:r w:rsidR="004374BF">
        <w:t>540</w:t>
      </w:r>
      <w:r w:rsidR="00D87D38">
        <w:t xml:space="preserve">,0 тыс. руб. или </w:t>
      </w:r>
      <w:r w:rsidR="004374BF">
        <w:t>16,6</w:t>
      </w:r>
      <w:r w:rsidR="00D87D38">
        <w:t>%</w:t>
      </w:r>
      <w:r w:rsidR="00286677">
        <w:t xml:space="preserve">. </w:t>
      </w:r>
    </w:p>
    <w:p w:rsidR="00286677" w:rsidRDefault="00D87D38" w:rsidP="00517512">
      <w:pPr>
        <w:spacing w:line="360" w:lineRule="auto"/>
        <w:ind w:firstLine="851"/>
        <w:jc w:val="both"/>
      </w:pPr>
      <w:r>
        <w:t>В 2016 году з</w:t>
      </w:r>
      <w:r w:rsidR="00286677">
        <w:t xml:space="preserve">адолженность увеличилась по </w:t>
      </w:r>
      <w:r w:rsidR="00C01A15">
        <w:t>большинству</w:t>
      </w:r>
      <w:r w:rsidR="00286677">
        <w:t xml:space="preserve"> показател</w:t>
      </w:r>
      <w:r w:rsidR="00C01A15">
        <w:t>ей</w:t>
      </w:r>
      <w:r w:rsidR="00286677">
        <w:t>, а именно:</w:t>
      </w:r>
    </w:p>
    <w:p w:rsidR="00286677" w:rsidRDefault="00286677" w:rsidP="00517512">
      <w:pPr>
        <w:spacing w:line="360" w:lineRule="auto"/>
        <w:ind w:firstLine="851"/>
        <w:jc w:val="both"/>
      </w:pPr>
      <w:r>
        <w:t xml:space="preserve">- недоимка возросла на </w:t>
      </w:r>
      <w:r w:rsidR="00945DF6">
        <w:t>177,2</w:t>
      </w:r>
      <w:r>
        <w:t xml:space="preserve"> тыс.</w:t>
      </w:r>
      <w:r w:rsidR="00517512">
        <w:t xml:space="preserve"> </w:t>
      </w:r>
      <w:r>
        <w:t xml:space="preserve">руб. или на </w:t>
      </w:r>
      <w:r w:rsidR="00945DF6">
        <w:t>29,6</w:t>
      </w:r>
      <w:r>
        <w:t xml:space="preserve"> %;</w:t>
      </w:r>
    </w:p>
    <w:p w:rsidR="00286677" w:rsidRDefault="00286677" w:rsidP="00517512">
      <w:pPr>
        <w:spacing w:line="360" w:lineRule="auto"/>
        <w:ind w:firstLine="851"/>
        <w:jc w:val="both"/>
      </w:pPr>
      <w:r>
        <w:t xml:space="preserve">- невозможная к взысканию задолженность  увеличилась на </w:t>
      </w:r>
      <w:r w:rsidR="00945DF6">
        <w:t>347,8</w:t>
      </w:r>
      <w:r>
        <w:t xml:space="preserve"> тыс.</w:t>
      </w:r>
      <w:r w:rsidR="00807FA9">
        <w:t xml:space="preserve"> </w:t>
      </w:r>
      <w:r>
        <w:t xml:space="preserve">руб. или на </w:t>
      </w:r>
      <w:r w:rsidR="00945DF6">
        <w:t>38,5</w:t>
      </w:r>
      <w:r>
        <w:t xml:space="preserve"> %;</w:t>
      </w:r>
    </w:p>
    <w:p w:rsidR="00286677" w:rsidRDefault="00286677" w:rsidP="00517512">
      <w:pPr>
        <w:spacing w:line="360" w:lineRule="auto"/>
        <w:ind w:firstLine="851"/>
        <w:jc w:val="both"/>
      </w:pPr>
      <w:r>
        <w:t xml:space="preserve">- по пеням и налоговым санкциям увеличилась на </w:t>
      </w:r>
      <w:r w:rsidR="00945DF6">
        <w:t>121,5</w:t>
      </w:r>
      <w:r>
        <w:t xml:space="preserve"> тыс.</w:t>
      </w:r>
      <w:r w:rsidR="00517512">
        <w:t xml:space="preserve"> </w:t>
      </w:r>
      <w:r>
        <w:t xml:space="preserve">руб. или на </w:t>
      </w:r>
      <w:r w:rsidR="00945DF6">
        <w:t>17,4</w:t>
      </w:r>
      <w:r>
        <w:t xml:space="preserve"> %.</w:t>
      </w:r>
    </w:p>
    <w:p w:rsidR="00C01A15" w:rsidRDefault="00C01A15" w:rsidP="00C01A15">
      <w:pPr>
        <w:spacing w:line="360" w:lineRule="auto"/>
        <w:ind w:firstLine="851"/>
        <w:jc w:val="both"/>
      </w:pPr>
      <w:r>
        <w:lastRenderedPageBreak/>
        <w:t xml:space="preserve">Снижение установлено только  по урегулированной задолженности    на </w:t>
      </w:r>
      <w:r w:rsidR="00DB34D0">
        <w:t>223,7</w:t>
      </w:r>
      <w:r>
        <w:t xml:space="preserve">0 тыс. руб. или на </w:t>
      </w:r>
      <w:r w:rsidR="00DB34D0">
        <w:t>35</w:t>
      </w:r>
      <w:r>
        <w:t xml:space="preserve"> %;</w:t>
      </w:r>
    </w:p>
    <w:p w:rsidR="00C01A15" w:rsidRDefault="00CF7828" w:rsidP="00517512">
      <w:pPr>
        <w:spacing w:line="360" w:lineRule="auto"/>
        <w:ind w:firstLine="851"/>
        <w:jc w:val="both"/>
      </w:pPr>
      <w:r>
        <w:t>В разрезе показателей налоговых доходов можно сделать вывод, что увеличение задолженности за 2015 год в основном произошло за счет налога на имущество организаций, задолженность по которому выросла на 319,6 тыс. руб., а также задолженность увеличилась по таким налогам, как:</w:t>
      </w:r>
    </w:p>
    <w:p w:rsidR="00CF7828" w:rsidRDefault="00CF7828" w:rsidP="00517512">
      <w:pPr>
        <w:spacing w:line="360" w:lineRule="auto"/>
        <w:ind w:firstLine="851"/>
        <w:jc w:val="both"/>
      </w:pPr>
      <w:r>
        <w:t>- УСНО – на 83,0 тыс. руб.;</w:t>
      </w:r>
    </w:p>
    <w:p w:rsidR="00CF7828" w:rsidRDefault="00CF7828" w:rsidP="00517512">
      <w:pPr>
        <w:spacing w:line="360" w:lineRule="auto"/>
        <w:ind w:firstLine="851"/>
        <w:jc w:val="both"/>
      </w:pPr>
      <w:r>
        <w:t>- ЕНВД – на 35,0 тыс. руб.;</w:t>
      </w:r>
    </w:p>
    <w:p w:rsidR="00CF7828" w:rsidRDefault="00CF7828" w:rsidP="00517512">
      <w:pPr>
        <w:spacing w:line="360" w:lineRule="auto"/>
        <w:ind w:firstLine="851"/>
        <w:jc w:val="both"/>
      </w:pPr>
      <w:r>
        <w:t>- ЕСХН – на 12,0 тыс. руб.</w:t>
      </w:r>
    </w:p>
    <w:p w:rsidR="00714C3E" w:rsidRDefault="00714C3E" w:rsidP="00517512">
      <w:pPr>
        <w:spacing w:line="360" w:lineRule="auto"/>
        <w:ind w:firstLine="851"/>
        <w:jc w:val="both"/>
      </w:pPr>
      <w:r>
        <w:t>За 2016 год снижение общего показателя  задолженности по налогам и сборам произошло за счет уменьшения задолженности по УСНО на 556,0 тыс. руб.,  ЕНВД на 109,0 тыс. руб. и НДФЛ на 29,2 тыс. руб.</w:t>
      </w:r>
    </w:p>
    <w:p w:rsidR="00714C3E" w:rsidRDefault="00714C3E" w:rsidP="00517512">
      <w:pPr>
        <w:spacing w:line="360" w:lineRule="auto"/>
        <w:ind w:firstLine="851"/>
        <w:jc w:val="both"/>
      </w:pPr>
      <w:r>
        <w:t>За этот же период налог на имущество организаций еще увеличился на 147,2 тыс. руб. к показателю за 2015 год.</w:t>
      </w:r>
      <w:r w:rsidR="00B91CE0">
        <w:t xml:space="preserve"> Таким образом, можно сделать вывод о недостаточно проводимой работе с юридическими лицами, осуществляющими перечисления по налогу на имущество организаций. </w:t>
      </w:r>
    </w:p>
    <w:p w:rsidR="00650752" w:rsidRDefault="00286677" w:rsidP="00517512">
      <w:pPr>
        <w:spacing w:line="360" w:lineRule="auto"/>
        <w:ind w:firstLine="851"/>
        <w:jc w:val="both"/>
      </w:pPr>
      <w:r>
        <w:t xml:space="preserve">На основании вышеизложенного можно </w:t>
      </w:r>
      <w:r w:rsidR="000336F7">
        <w:t xml:space="preserve">также </w:t>
      </w:r>
      <w:r>
        <w:t xml:space="preserve">сделать вывод, что </w:t>
      </w:r>
      <w:r w:rsidR="00650752">
        <w:t>имеет постоянную тенденцию на уменьшение урегулированная задолженность: на начало 2015 г</w:t>
      </w:r>
      <w:r w:rsidR="002F4B5E">
        <w:t>о</w:t>
      </w:r>
      <w:r w:rsidR="00650752">
        <w:t>да – 638,6 тыс. руб., 2016 – 414,9 тыс. руб., 2017 – 196,6 тыс. руб.</w:t>
      </w:r>
    </w:p>
    <w:p w:rsidR="00650752" w:rsidRDefault="00765815" w:rsidP="00517512">
      <w:pPr>
        <w:spacing w:line="360" w:lineRule="auto"/>
        <w:ind w:firstLine="851"/>
        <w:jc w:val="both"/>
      </w:pPr>
      <w:r>
        <w:t>Невозможная к взысканию задолженность по итогам 2015 года увеличилась на 347,8 тыс. руб., но незначительно снизилась в 2016 году на 58,2 тыс. руб. за счет проведенной работы.</w:t>
      </w:r>
    </w:p>
    <w:p w:rsidR="00765815" w:rsidRDefault="000C4407" w:rsidP="00517512">
      <w:pPr>
        <w:spacing w:line="360" w:lineRule="auto"/>
        <w:ind w:firstLine="851"/>
        <w:jc w:val="both"/>
      </w:pPr>
      <w:r>
        <w:t>То же самое можно отметить по недоимке и задолженности по пеням и налоговым санкциям – рост на начало 2016 года по сравнению с 2015 годом и на начало 2017 года небольшое снижение показателей.</w:t>
      </w:r>
    </w:p>
    <w:p w:rsidR="000C4407" w:rsidRDefault="000C4407" w:rsidP="00517512">
      <w:pPr>
        <w:spacing w:line="360" w:lineRule="auto"/>
        <w:ind w:firstLine="851"/>
        <w:jc w:val="both"/>
      </w:pPr>
    </w:p>
    <w:p w:rsidR="00EC3FCA" w:rsidRDefault="00EC3FCA" w:rsidP="00B9499B">
      <w:pPr>
        <w:tabs>
          <w:tab w:val="left" w:pos="0"/>
        </w:tabs>
        <w:ind w:firstLine="851"/>
        <w:contextualSpacing/>
        <w:jc w:val="center"/>
        <w:rPr>
          <w:b/>
        </w:rPr>
      </w:pPr>
      <w:r>
        <w:rPr>
          <w:b/>
        </w:rPr>
        <w:t>Анализ структуры и динамики задолженности по неналоговым   доходам в бюджет Вятскополянского района</w:t>
      </w:r>
    </w:p>
    <w:p w:rsidR="00EC3FCA" w:rsidRDefault="00EC3FCA" w:rsidP="00517512">
      <w:pPr>
        <w:spacing w:line="360" w:lineRule="auto"/>
        <w:ind w:firstLine="851"/>
        <w:jc w:val="both"/>
      </w:pPr>
    </w:p>
    <w:p w:rsidR="003C5548" w:rsidRPr="00274377" w:rsidRDefault="003C5548" w:rsidP="003C5548">
      <w:pPr>
        <w:spacing w:line="360" w:lineRule="auto"/>
        <w:ind w:firstLine="851"/>
        <w:jc w:val="both"/>
      </w:pPr>
      <w:r w:rsidRPr="00274377">
        <w:t>Структура задолженности по неналоговым доходам представлена в таблице:</w:t>
      </w:r>
    </w:p>
    <w:p w:rsidR="003C5548" w:rsidRDefault="003C5548" w:rsidP="003C5548">
      <w:pPr>
        <w:spacing w:line="360" w:lineRule="auto"/>
        <w:ind w:firstLine="851"/>
        <w:jc w:val="right"/>
      </w:pPr>
      <w:r>
        <w:t>тыс. руб.</w:t>
      </w:r>
    </w:p>
    <w:tbl>
      <w:tblPr>
        <w:tblStyle w:val="a7"/>
        <w:tblW w:w="9875" w:type="dxa"/>
        <w:tblLayout w:type="fixed"/>
        <w:tblLook w:val="04A0"/>
      </w:tblPr>
      <w:tblGrid>
        <w:gridCol w:w="2766"/>
        <w:gridCol w:w="1170"/>
        <w:gridCol w:w="1134"/>
        <w:gridCol w:w="1134"/>
        <w:gridCol w:w="1134"/>
        <w:gridCol w:w="1417"/>
        <w:gridCol w:w="1120"/>
      </w:tblGrid>
      <w:tr w:rsidR="003C5548" w:rsidTr="00D07089">
        <w:tc>
          <w:tcPr>
            <w:tcW w:w="2766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Наименование показателя</w:t>
            </w:r>
          </w:p>
        </w:tc>
        <w:tc>
          <w:tcPr>
            <w:tcW w:w="1170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На 01.01.</w:t>
            </w:r>
          </w:p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2015</w:t>
            </w:r>
          </w:p>
        </w:tc>
        <w:tc>
          <w:tcPr>
            <w:tcW w:w="1134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Недоимка не возможная к взысканию</w:t>
            </w:r>
          </w:p>
        </w:tc>
        <w:tc>
          <w:tcPr>
            <w:tcW w:w="1134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На 01.01.</w:t>
            </w:r>
          </w:p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2016</w:t>
            </w:r>
          </w:p>
        </w:tc>
        <w:tc>
          <w:tcPr>
            <w:tcW w:w="1134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Недоимка не возможная к взысканию</w:t>
            </w:r>
          </w:p>
        </w:tc>
        <w:tc>
          <w:tcPr>
            <w:tcW w:w="1417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На 01.01.</w:t>
            </w:r>
          </w:p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2017</w:t>
            </w:r>
          </w:p>
        </w:tc>
        <w:tc>
          <w:tcPr>
            <w:tcW w:w="1120" w:type="dxa"/>
          </w:tcPr>
          <w:p w:rsidR="003C5548" w:rsidRPr="009F1CC9" w:rsidRDefault="003C5548" w:rsidP="00D07089">
            <w:pPr>
              <w:jc w:val="center"/>
              <w:rPr>
                <w:bCs/>
              </w:rPr>
            </w:pPr>
            <w:r w:rsidRPr="009F1CC9">
              <w:rPr>
                <w:bCs/>
              </w:rPr>
              <w:t>Недоимка не возможная к взысканию</w:t>
            </w:r>
          </w:p>
        </w:tc>
      </w:tr>
      <w:tr w:rsidR="003C5548" w:rsidTr="00D07089">
        <w:tc>
          <w:tcPr>
            <w:tcW w:w="2766" w:type="dxa"/>
          </w:tcPr>
          <w:p w:rsidR="003C5548" w:rsidRPr="00F239B3" w:rsidRDefault="003C5548" w:rsidP="00D07089">
            <w:r w:rsidRPr="00F239B3">
              <w:t>Арендная плата за землю</w:t>
            </w:r>
            <w:r>
              <w:t>, в том числе:</w:t>
            </w:r>
          </w:p>
        </w:tc>
        <w:tc>
          <w:tcPr>
            <w:tcW w:w="1170" w:type="dxa"/>
          </w:tcPr>
          <w:p w:rsidR="003C5548" w:rsidRPr="00C945A9" w:rsidRDefault="003C5548" w:rsidP="00D07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975</w:t>
            </w:r>
            <w:r>
              <w:t>,</w:t>
            </w:r>
            <w:r>
              <w:rPr>
                <w:lang w:val="en-US"/>
              </w:rPr>
              <w:t>88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rPr>
                <w:lang w:val="en-US"/>
              </w:rPr>
              <w:t>522</w:t>
            </w:r>
            <w:r>
              <w:t>,</w:t>
            </w:r>
            <w:r>
              <w:rPr>
                <w:lang w:val="en-US"/>
              </w:rPr>
              <w:t>95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1420,77</w:t>
            </w:r>
          </w:p>
        </w:tc>
        <w:tc>
          <w:tcPr>
            <w:tcW w:w="1134" w:type="dxa"/>
          </w:tcPr>
          <w:p w:rsidR="003C5548" w:rsidRPr="00C945A9" w:rsidRDefault="003C5548" w:rsidP="00D07089">
            <w:pPr>
              <w:jc w:val="center"/>
              <w:rPr>
                <w:lang w:val="en-US"/>
              </w:rPr>
            </w:pPr>
            <w:r>
              <w:t>347,21</w:t>
            </w:r>
          </w:p>
        </w:tc>
        <w:tc>
          <w:tcPr>
            <w:tcW w:w="1417" w:type="dxa"/>
          </w:tcPr>
          <w:p w:rsidR="003C5548" w:rsidRPr="00F239B3" w:rsidRDefault="003C5548" w:rsidP="00D07089">
            <w:pPr>
              <w:jc w:val="center"/>
            </w:pPr>
            <w:r>
              <w:t>1615,41</w:t>
            </w:r>
          </w:p>
        </w:tc>
        <w:tc>
          <w:tcPr>
            <w:tcW w:w="1120" w:type="dxa"/>
          </w:tcPr>
          <w:p w:rsidR="003C5548" w:rsidRPr="00F239B3" w:rsidRDefault="003C5548" w:rsidP="00D07089">
            <w:pPr>
              <w:jc w:val="center"/>
            </w:pPr>
            <w:r>
              <w:t>322,19</w:t>
            </w:r>
          </w:p>
        </w:tc>
      </w:tr>
      <w:tr w:rsidR="003C5548" w:rsidTr="00D07089">
        <w:tc>
          <w:tcPr>
            <w:tcW w:w="2766" w:type="dxa"/>
          </w:tcPr>
          <w:p w:rsidR="003C5548" w:rsidRPr="00F239B3" w:rsidRDefault="003C5548" w:rsidP="00D07089">
            <w:r>
              <w:lastRenderedPageBreak/>
              <w:t>- сельские поселения</w:t>
            </w:r>
          </w:p>
        </w:tc>
        <w:tc>
          <w:tcPr>
            <w:tcW w:w="1170" w:type="dxa"/>
          </w:tcPr>
          <w:p w:rsidR="003C5548" w:rsidRDefault="003C5548" w:rsidP="00D07089">
            <w:pPr>
              <w:jc w:val="center"/>
            </w:pPr>
            <w:r>
              <w:t>538,36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388,07</w:t>
            </w:r>
          </w:p>
        </w:tc>
        <w:tc>
          <w:tcPr>
            <w:tcW w:w="1134" w:type="dxa"/>
          </w:tcPr>
          <w:p w:rsidR="003C5548" w:rsidRDefault="003C5548" w:rsidP="00D07089">
            <w:pPr>
              <w:jc w:val="center"/>
            </w:pPr>
            <w:r>
              <w:t>707,71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193,63</w:t>
            </w:r>
          </w:p>
        </w:tc>
        <w:tc>
          <w:tcPr>
            <w:tcW w:w="1417" w:type="dxa"/>
          </w:tcPr>
          <w:p w:rsidR="003C5548" w:rsidRDefault="003C5548" w:rsidP="00D07089">
            <w:pPr>
              <w:jc w:val="center"/>
            </w:pPr>
            <w:r>
              <w:t>659,01</w:t>
            </w:r>
          </w:p>
        </w:tc>
        <w:tc>
          <w:tcPr>
            <w:tcW w:w="1120" w:type="dxa"/>
          </w:tcPr>
          <w:p w:rsidR="003C5548" w:rsidRPr="00F239B3" w:rsidRDefault="003C5548" w:rsidP="00D07089">
            <w:pPr>
              <w:jc w:val="center"/>
            </w:pPr>
            <w:r>
              <w:t>183,68</w:t>
            </w:r>
          </w:p>
        </w:tc>
      </w:tr>
      <w:tr w:rsidR="003C5548" w:rsidTr="00D07089">
        <w:tc>
          <w:tcPr>
            <w:tcW w:w="2766" w:type="dxa"/>
          </w:tcPr>
          <w:p w:rsidR="003C5548" w:rsidRPr="00F239B3" w:rsidRDefault="003C5548" w:rsidP="00D07089">
            <w:r>
              <w:t>- Сосновка</w:t>
            </w:r>
          </w:p>
        </w:tc>
        <w:tc>
          <w:tcPr>
            <w:tcW w:w="1170" w:type="dxa"/>
          </w:tcPr>
          <w:p w:rsidR="003C5548" w:rsidRDefault="003C5548" w:rsidP="00D07089">
            <w:pPr>
              <w:jc w:val="center"/>
            </w:pPr>
            <w:r>
              <w:t>406,26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134,88</w:t>
            </w:r>
          </w:p>
        </w:tc>
        <w:tc>
          <w:tcPr>
            <w:tcW w:w="1134" w:type="dxa"/>
          </w:tcPr>
          <w:p w:rsidR="003C5548" w:rsidRDefault="003C5548" w:rsidP="00D07089">
            <w:pPr>
              <w:jc w:val="center"/>
            </w:pPr>
            <w:r>
              <w:t>658,1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153,58</w:t>
            </w:r>
          </w:p>
        </w:tc>
        <w:tc>
          <w:tcPr>
            <w:tcW w:w="1417" w:type="dxa"/>
          </w:tcPr>
          <w:p w:rsidR="003C5548" w:rsidRDefault="003C5548" w:rsidP="00D07089">
            <w:pPr>
              <w:jc w:val="center"/>
            </w:pPr>
            <w:r>
              <w:t>889,01</w:t>
            </w:r>
          </w:p>
        </w:tc>
        <w:tc>
          <w:tcPr>
            <w:tcW w:w="1120" w:type="dxa"/>
          </w:tcPr>
          <w:p w:rsidR="003C5548" w:rsidRPr="00F239B3" w:rsidRDefault="003C5548" w:rsidP="00D07089">
            <w:pPr>
              <w:jc w:val="center"/>
            </w:pPr>
            <w:r>
              <w:t>138,51</w:t>
            </w:r>
          </w:p>
        </w:tc>
      </w:tr>
      <w:tr w:rsidR="003C5548" w:rsidTr="00D07089">
        <w:tc>
          <w:tcPr>
            <w:tcW w:w="2766" w:type="dxa"/>
          </w:tcPr>
          <w:p w:rsidR="003C5548" w:rsidRPr="00F239B3" w:rsidRDefault="003C5548" w:rsidP="00D07089">
            <w:r>
              <w:t>- Красная Поляна</w:t>
            </w:r>
          </w:p>
        </w:tc>
        <w:tc>
          <w:tcPr>
            <w:tcW w:w="1170" w:type="dxa"/>
          </w:tcPr>
          <w:p w:rsidR="003C5548" w:rsidRDefault="003C5548" w:rsidP="00D07089">
            <w:pPr>
              <w:jc w:val="center"/>
            </w:pPr>
            <w:r>
              <w:t>31,26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C5548" w:rsidRDefault="003C5548" w:rsidP="00D07089">
            <w:pPr>
              <w:jc w:val="center"/>
            </w:pPr>
            <w:r>
              <w:t>54,96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C5548" w:rsidRDefault="003C5548" w:rsidP="00D07089">
            <w:pPr>
              <w:jc w:val="center"/>
            </w:pPr>
            <w:r>
              <w:t>67,39</w:t>
            </w:r>
          </w:p>
        </w:tc>
        <w:tc>
          <w:tcPr>
            <w:tcW w:w="1120" w:type="dxa"/>
          </w:tcPr>
          <w:p w:rsidR="003C5548" w:rsidRPr="00F239B3" w:rsidRDefault="003C5548" w:rsidP="00D07089">
            <w:pPr>
              <w:jc w:val="center"/>
            </w:pPr>
            <w:r>
              <w:t>0</w:t>
            </w:r>
          </w:p>
        </w:tc>
      </w:tr>
      <w:tr w:rsidR="003C5548" w:rsidTr="00D07089">
        <w:tc>
          <w:tcPr>
            <w:tcW w:w="2766" w:type="dxa"/>
          </w:tcPr>
          <w:p w:rsidR="003C5548" w:rsidRPr="00F239B3" w:rsidRDefault="003C5548" w:rsidP="00D07089">
            <w:r w:rsidRPr="00F239B3">
              <w:t>Арендная плата за муниципальное имущество</w:t>
            </w:r>
          </w:p>
        </w:tc>
        <w:tc>
          <w:tcPr>
            <w:tcW w:w="1170" w:type="dxa"/>
          </w:tcPr>
          <w:p w:rsidR="003C5548" w:rsidRPr="00F239B3" w:rsidRDefault="003C5548" w:rsidP="00D07089">
            <w:pPr>
              <w:jc w:val="center"/>
            </w:pPr>
            <w:r>
              <w:t>43,82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181,49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C5548" w:rsidRPr="00F239B3" w:rsidRDefault="003C5548" w:rsidP="00D07089">
            <w:pPr>
              <w:jc w:val="center"/>
            </w:pPr>
            <w:r>
              <w:t>970,45</w:t>
            </w:r>
          </w:p>
        </w:tc>
        <w:tc>
          <w:tcPr>
            <w:tcW w:w="1120" w:type="dxa"/>
          </w:tcPr>
          <w:p w:rsidR="003C5548" w:rsidRPr="00F239B3" w:rsidRDefault="003C5548" w:rsidP="00D07089">
            <w:pPr>
              <w:jc w:val="center"/>
            </w:pPr>
            <w:r>
              <w:t>40,01</w:t>
            </w:r>
          </w:p>
        </w:tc>
      </w:tr>
      <w:tr w:rsidR="003C5548" w:rsidTr="00D07089">
        <w:tc>
          <w:tcPr>
            <w:tcW w:w="2766" w:type="dxa"/>
          </w:tcPr>
          <w:p w:rsidR="003C5548" w:rsidRPr="00F239B3" w:rsidRDefault="003C5548" w:rsidP="00D07089">
            <w:pPr>
              <w:rPr>
                <w:b/>
              </w:rPr>
            </w:pPr>
            <w:r w:rsidRPr="00F239B3">
              <w:rPr>
                <w:b/>
              </w:rPr>
              <w:t>Итого</w:t>
            </w:r>
          </w:p>
        </w:tc>
        <w:tc>
          <w:tcPr>
            <w:tcW w:w="1170" w:type="dxa"/>
          </w:tcPr>
          <w:p w:rsidR="003C5548" w:rsidRPr="00F239B3" w:rsidRDefault="003C5548" w:rsidP="00D07089">
            <w:pPr>
              <w:jc w:val="center"/>
              <w:rPr>
                <w:b/>
              </w:rPr>
            </w:pPr>
            <w:r>
              <w:rPr>
                <w:b/>
              </w:rPr>
              <w:t>1 019,7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  <w:rPr>
                <w:b/>
              </w:rPr>
            </w:pPr>
            <w:r>
              <w:rPr>
                <w:b/>
              </w:rPr>
              <w:t>522,95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  <w:rPr>
                <w:b/>
              </w:rPr>
            </w:pPr>
            <w:r>
              <w:rPr>
                <w:b/>
              </w:rPr>
              <w:t>1 602,26</w:t>
            </w:r>
          </w:p>
        </w:tc>
        <w:tc>
          <w:tcPr>
            <w:tcW w:w="1134" w:type="dxa"/>
          </w:tcPr>
          <w:p w:rsidR="003C5548" w:rsidRPr="00F239B3" w:rsidRDefault="003C5548" w:rsidP="00D07089">
            <w:pPr>
              <w:jc w:val="center"/>
              <w:rPr>
                <w:b/>
              </w:rPr>
            </w:pPr>
            <w:r>
              <w:rPr>
                <w:b/>
              </w:rPr>
              <w:t>347,21</w:t>
            </w:r>
          </w:p>
        </w:tc>
        <w:tc>
          <w:tcPr>
            <w:tcW w:w="1417" w:type="dxa"/>
          </w:tcPr>
          <w:p w:rsidR="003C5548" w:rsidRPr="00F239B3" w:rsidRDefault="003C5548" w:rsidP="00D07089">
            <w:pPr>
              <w:jc w:val="center"/>
              <w:rPr>
                <w:b/>
              </w:rPr>
            </w:pPr>
            <w:r>
              <w:rPr>
                <w:b/>
              </w:rPr>
              <w:t>2 585,86</w:t>
            </w:r>
          </w:p>
        </w:tc>
        <w:tc>
          <w:tcPr>
            <w:tcW w:w="1120" w:type="dxa"/>
          </w:tcPr>
          <w:p w:rsidR="003C5548" w:rsidRPr="00F239B3" w:rsidRDefault="003C5548" w:rsidP="00D07089">
            <w:pPr>
              <w:jc w:val="center"/>
              <w:rPr>
                <w:b/>
              </w:rPr>
            </w:pPr>
            <w:r>
              <w:rPr>
                <w:b/>
              </w:rPr>
              <w:t>362,2</w:t>
            </w:r>
          </w:p>
        </w:tc>
      </w:tr>
    </w:tbl>
    <w:p w:rsidR="003C5548" w:rsidRDefault="003C5548" w:rsidP="003C5548">
      <w:pPr>
        <w:spacing w:line="360" w:lineRule="auto"/>
        <w:ind w:firstLine="851"/>
        <w:jc w:val="both"/>
      </w:pPr>
    </w:p>
    <w:p w:rsidR="003C5548" w:rsidRDefault="003C5548" w:rsidP="003C5548">
      <w:pPr>
        <w:spacing w:line="360" w:lineRule="auto"/>
        <w:ind w:right="-1" w:firstLine="851"/>
        <w:jc w:val="both"/>
      </w:pPr>
      <w:r>
        <w:t>Следует отметить, что денежные средства от аренды земельных участков, расположенных в сельских поселениях</w:t>
      </w:r>
      <w:r w:rsidR="008565F4">
        <w:t>,</w:t>
      </w:r>
      <w:r>
        <w:t xml:space="preserve"> в полном объёме поступают в бюджет района, а от земельных участков, расположенных в г</w:t>
      </w:r>
      <w:proofErr w:type="gramStart"/>
      <w:r>
        <w:t>.С</w:t>
      </w:r>
      <w:proofErr w:type="gramEnd"/>
      <w:r>
        <w:t xml:space="preserve">основка и </w:t>
      </w:r>
      <w:proofErr w:type="spellStart"/>
      <w:r>
        <w:t>пгт</w:t>
      </w:r>
      <w:proofErr w:type="spellEnd"/>
      <w:r>
        <w:t xml:space="preserve"> Красная Поляна только на 50%, оставшаяся часть в размере 50% поступает в бюджеты вышеуказанных поселений.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>Из представленных в таблице данных видно, что значительно увеличилась сумма недоимки, как по арендной плате за землю, так и по арендной плате за имущество, а именно по отношению к 2014 году сумма недоимки за 2016 год выросла на 1 566,16 тыс. руб. или на 60,6 %.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 xml:space="preserve">Сумма недоимки по арендной плате за землю  в 2016 году по отношению к 2014 году выросла на 639,53 тыс. руб. или на 39,6%. 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>Сумма недоимки по арендной плате за имущество  по отношению к 2014 году возросла на 926,63 тыс. руб. или на 95,48 %.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>Недоимка</w:t>
      </w:r>
      <w:r w:rsidR="00F47887">
        <w:t>,</w:t>
      </w:r>
      <w:r>
        <w:t xml:space="preserve"> невозможная к взысканию</w:t>
      </w:r>
      <w:r w:rsidR="00F47887">
        <w:t xml:space="preserve">, </w:t>
      </w:r>
      <w:r>
        <w:t xml:space="preserve"> наоборот снизилась на 160,75 тыс. руб. или на 30,7%. Данный факт обусловлен тем, что сумма в размере 167,4 тыс. руб. по арендатору земельного участка, расположенного на территории </w:t>
      </w:r>
      <w:proofErr w:type="spellStart"/>
      <w:r>
        <w:t>Чекашевского</w:t>
      </w:r>
      <w:proofErr w:type="spellEnd"/>
      <w:r>
        <w:t xml:space="preserve"> сельского поселения, Яковлевой Н.Ш. была перенесена в разряд возможных к погашению. Исковые требования находятся в службе судебных приставов. Оставшаяся сумма недоимки по данному арендатору в размере 91,65 тыс. руб. вероятнее всего будет списана, как невозможная к получению, так как сроки исковой давности истекли.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 xml:space="preserve">Также сумма в размере 12,6 тыс. руб. составляющая недоимку по аренде земли, расположенной в </w:t>
      </w:r>
      <w:proofErr w:type="spellStart"/>
      <w:r>
        <w:t>Среднешунском</w:t>
      </w:r>
      <w:proofErr w:type="spellEnd"/>
      <w:r>
        <w:t xml:space="preserve"> сельском поселений, по арендатор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Газсервис</w:t>
      </w:r>
      <w:proofErr w:type="spellEnd"/>
      <w:r>
        <w:t>» была перенесена в разряд возможной к погашению. Исковые требования находятся в службе судебных приставов.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 xml:space="preserve">В 2016 году была уплачена считавшейся невозможной к взысканию сумма задолженности в размере 15,05 тыс. руб. по арендатору земли </w:t>
      </w:r>
      <w:proofErr w:type="spellStart"/>
      <w:r>
        <w:t>Олешко</w:t>
      </w:r>
      <w:proofErr w:type="spellEnd"/>
      <w:r>
        <w:t xml:space="preserve"> А.С., расположенной в Сосновском городском поселении.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>В 2016 году была списана с учета, как невозможная к погашению сумма в размере 9,7 тыс. руб.  по арендатор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Чекашевский</w:t>
      </w:r>
      <w:proofErr w:type="spellEnd"/>
      <w:r>
        <w:t>» в виду истечения срока исковой давности.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lastRenderedPageBreak/>
        <w:t xml:space="preserve">При этом задолженность невозможная к взысканию увеличилась на 0,5 тыс. руб. по аренде земельного участка, расположенного на территории </w:t>
      </w:r>
      <w:proofErr w:type="spellStart"/>
      <w:r>
        <w:t>Ершовского</w:t>
      </w:r>
      <w:proofErr w:type="spellEnd"/>
      <w:r>
        <w:t xml:space="preserve"> сельского поселения, по арендатору Кировские магистральные сети, по аренде земельного участка, расположенного на территории Сосновского городского поселения и арендуемого Гречко С.Е. на 3,5 тыс. руб. </w:t>
      </w:r>
    </w:p>
    <w:p w:rsidR="003C5548" w:rsidRDefault="003C5548" w:rsidP="003C5548">
      <w:pPr>
        <w:spacing w:line="360" w:lineRule="auto"/>
        <w:ind w:right="-1" w:firstLine="851"/>
        <w:jc w:val="both"/>
      </w:pPr>
      <w:r>
        <w:t>Также за 2016 год добавилась сумма в размере 40,01 тыс. руб. по арендатору муниципального имущества Кузнецову В.А.</w:t>
      </w:r>
    </w:p>
    <w:p w:rsidR="003C5548" w:rsidRDefault="003C5548" w:rsidP="003C5548">
      <w:pPr>
        <w:spacing w:line="360" w:lineRule="auto"/>
        <w:ind w:right="-1" w:firstLine="851"/>
        <w:jc w:val="both"/>
      </w:pPr>
    </w:p>
    <w:p w:rsidR="003C5548" w:rsidRDefault="003C5548" w:rsidP="003C5548">
      <w:pPr>
        <w:ind w:right="-1" w:firstLine="851"/>
        <w:jc w:val="both"/>
      </w:pPr>
      <w:r>
        <w:t>Структура и динамика дебиторской задолженности по аренде земли представлена в таблице</w:t>
      </w:r>
    </w:p>
    <w:p w:rsidR="003C5548" w:rsidRDefault="003C5548" w:rsidP="003C5548">
      <w:pPr>
        <w:ind w:right="-1" w:firstLine="851"/>
        <w:jc w:val="right"/>
      </w:pPr>
      <w:r>
        <w:t>тыс. руб.</w:t>
      </w:r>
    </w:p>
    <w:tbl>
      <w:tblPr>
        <w:tblStyle w:val="a7"/>
        <w:tblW w:w="9799" w:type="dxa"/>
        <w:tblLayout w:type="fixed"/>
        <w:tblLook w:val="04A0"/>
      </w:tblPr>
      <w:tblGrid>
        <w:gridCol w:w="2943"/>
        <w:gridCol w:w="992"/>
        <w:gridCol w:w="1276"/>
        <w:gridCol w:w="993"/>
        <w:gridCol w:w="58"/>
        <w:gridCol w:w="1217"/>
        <w:gridCol w:w="1134"/>
        <w:gridCol w:w="1186"/>
      </w:tblGrid>
      <w:tr w:rsidR="003C5548" w:rsidTr="00D07089">
        <w:tc>
          <w:tcPr>
            <w:tcW w:w="2943" w:type="dxa"/>
            <w:vMerge w:val="restart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Наименование должника</w:t>
            </w:r>
          </w:p>
        </w:tc>
        <w:tc>
          <w:tcPr>
            <w:tcW w:w="2268" w:type="dxa"/>
            <w:gridSpan w:val="2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 01.01.2015 г.</w:t>
            </w:r>
          </w:p>
        </w:tc>
        <w:tc>
          <w:tcPr>
            <w:tcW w:w="2268" w:type="dxa"/>
            <w:gridSpan w:val="3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 01.01.2016 г.</w:t>
            </w:r>
          </w:p>
        </w:tc>
        <w:tc>
          <w:tcPr>
            <w:tcW w:w="2320" w:type="dxa"/>
            <w:gridSpan w:val="2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 01.01.2017 г.</w:t>
            </w:r>
          </w:p>
        </w:tc>
      </w:tr>
      <w:tr w:rsidR="003C5548" w:rsidTr="00D07089">
        <w:tc>
          <w:tcPr>
            <w:tcW w:w="2943" w:type="dxa"/>
            <w:vMerge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</w:p>
        </w:tc>
        <w:tc>
          <w:tcPr>
            <w:tcW w:w="992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r w:rsidRPr="00733C71">
              <w:rPr>
                <w:sz w:val="22"/>
                <w:szCs w:val="22"/>
              </w:rPr>
              <w:t>сумма</w:t>
            </w:r>
          </w:p>
        </w:tc>
        <w:tc>
          <w:tcPr>
            <w:tcW w:w="1276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proofErr w:type="gramStart"/>
            <w:r w:rsidRPr="00733C71">
              <w:rPr>
                <w:sz w:val="22"/>
                <w:szCs w:val="22"/>
              </w:rPr>
              <w:t>Невозможная</w:t>
            </w:r>
            <w:proofErr w:type="gramEnd"/>
            <w:r w:rsidRPr="00733C71">
              <w:rPr>
                <w:sz w:val="22"/>
                <w:szCs w:val="22"/>
              </w:rPr>
              <w:t xml:space="preserve"> к взысканию</w:t>
            </w:r>
          </w:p>
        </w:tc>
        <w:tc>
          <w:tcPr>
            <w:tcW w:w="1051" w:type="dxa"/>
            <w:gridSpan w:val="2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r w:rsidRPr="00733C71">
              <w:rPr>
                <w:sz w:val="22"/>
                <w:szCs w:val="22"/>
              </w:rPr>
              <w:t>сумма</w:t>
            </w:r>
          </w:p>
        </w:tc>
        <w:tc>
          <w:tcPr>
            <w:tcW w:w="1217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proofErr w:type="gramStart"/>
            <w:r w:rsidRPr="00733C71">
              <w:rPr>
                <w:sz w:val="22"/>
                <w:szCs w:val="22"/>
              </w:rPr>
              <w:t>Невозможная</w:t>
            </w:r>
            <w:proofErr w:type="gramEnd"/>
            <w:r w:rsidRPr="00733C71">
              <w:rPr>
                <w:sz w:val="22"/>
                <w:szCs w:val="22"/>
              </w:rPr>
              <w:t xml:space="preserve"> к взысканию</w:t>
            </w:r>
          </w:p>
        </w:tc>
        <w:tc>
          <w:tcPr>
            <w:tcW w:w="1134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r w:rsidRPr="00733C71">
              <w:rPr>
                <w:sz w:val="22"/>
                <w:szCs w:val="22"/>
              </w:rPr>
              <w:t>сумма</w:t>
            </w:r>
          </w:p>
        </w:tc>
        <w:tc>
          <w:tcPr>
            <w:tcW w:w="1186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proofErr w:type="gramStart"/>
            <w:r w:rsidRPr="00733C71">
              <w:rPr>
                <w:sz w:val="22"/>
                <w:szCs w:val="22"/>
              </w:rPr>
              <w:t>Невозможная</w:t>
            </w:r>
            <w:proofErr w:type="gramEnd"/>
            <w:r w:rsidRPr="00733C71">
              <w:rPr>
                <w:sz w:val="22"/>
                <w:szCs w:val="22"/>
              </w:rPr>
              <w:t xml:space="preserve"> к взысканию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Сосновское городское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Промсервис</w:t>
            </w:r>
            <w:proofErr w:type="spellEnd"/>
            <w:r>
              <w:t xml:space="preserve">» 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96,3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96,3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96,3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«Восточно-овражный»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52,3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70,0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110,8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«Восток»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7,9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39,5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71,0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«Лотос»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27,4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59,9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109,9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«Западный»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3,7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1,7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«Луч»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7,6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18,3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«Восход»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5,4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6,6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«Гудок»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31,2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42,0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55,5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«Водитель»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2,0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6,0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«Южный»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5,15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10,3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gramStart"/>
            <w:r>
              <w:t>г</w:t>
            </w:r>
            <w:proofErr w:type="gramEnd"/>
            <w:r>
              <w:t>/к «Рассвет»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16,3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АлексСтрой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13,8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2,2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ОАО «Сосновский судостроительный завод»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31,65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Гречко В.П.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57,7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57,7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57,7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57,7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57,7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57,7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Гречко С.Е.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80,8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77,2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80,8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80,8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80,8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80,8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Олешко</w:t>
            </w:r>
            <w:proofErr w:type="spellEnd"/>
            <w:r>
              <w:t xml:space="preserve"> А.С.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15,05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15,05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15,05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15,05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Шайхутдинов</w:t>
            </w:r>
            <w:proofErr w:type="spellEnd"/>
            <w:r>
              <w:t xml:space="preserve"> И.Р.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4,3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Лукин В.М.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13,9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Саттаров</w:t>
            </w:r>
            <w:proofErr w:type="spellEnd"/>
            <w:r>
              <w:t xml:space="preserve"> А.И.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6,0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Угрюмов</w:t>
            </w:r>
            <w:proofErr w:type="spellEnd"/>
            <w:r>
              <w:t xml:space="preserve"> А.Н.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49,5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71,1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МУП Городской рынок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26,4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20,2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93,4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116,0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Краснополянское</w:t>
            </w:r>
            <w:proofErr w:type="spellEnd"/>
            <w:r>
              <w:t xml:space="preserve"> городское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Поздеев</w:t>
            </w:r>
            <w:proofErr w:type="spellEnd"/>
            <w:r>
              <w:t xml:space="preserve"> А.М.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22,3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Ситников А.А.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39,5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56,1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«Заречье»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5,7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5,8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7,3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10,2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Гремячевское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Салахутдинов</w:t>
            </w:r>
            <w:proofErr w:type="spellEnd"/>
            <w:r>
              <w:t xml:space="preserve"> В.Ф.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31,9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32,9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Кулыжское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lastRenderedPageBreak/>
              <w:t>ОАО «Молот»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18,9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31,3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6,3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СПХ «</w:t>
            </w:r>
            <w:proofErr w:type="spellStart"/>
            <w:r>
              <w:t>Куршино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АПК «Союз»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21,1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2,9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2,8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Ершовское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Кировские магистральные электросети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0,5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0,5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0,5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0,5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Демо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26,3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7,1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9,2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Омгинское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Омга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57,5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118,9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115,0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Среднетойменское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Кузнецов О.А.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4,8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9,4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МегаОм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3,9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7,4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10,9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3,3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0,9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Среднешунское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Газсервис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12,6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12,6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12,6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12,6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proofErr w:type="spellStart"/>
            <w:r>
              <w:t>Агаев</w:t>
            </w:r>
            <w:proofErr w:type="spellEnd"/>
            <w:r>
              <w:t xml:space="preserve"> Ф.А.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17,7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35,4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«Вятка-1»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3,6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Старопинигерское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Пинигерский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25,4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43,9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53,1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«Каменный карьер»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7,5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«Карьер»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4,9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7,5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8,8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12,4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9799" w:type="dxa"/>
            <w:gridSpan w:val="8"/>
            <w:vAlign w:val="center"/>
          </w:tcPr>
          <w:p w:rsidR="003C5548" w:rsidRDefault="003C5548" w:rsidP="00D07089">
            <w:pPr>
              <w:ind w:right="-1"/>
              <w:jc w:val="center"/>
            </w:pPr>
            <w:proofErr w:type="spellStart"/>
            <w:r>
              <w:t>Чекашевское</w:t>
            </w:r>
            <w:proofErr w:type="spellEnd"/>
            <w:r>
              <w:t xml:space="preserve"> сельское поселение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</w:t>
            </w:r>
            <w:proofErr w:type="spellStart"/>
            <w:r>
              <w:t>Чекашевский</w:t>
            </w:r>
            <w:proofErr w:type="spellEnd"/>
            <w:r>
              <w:t>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92,4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92,4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92,6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92,6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82,65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82,65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«Кристалл»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8,9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8,9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8,9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8,9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8,9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8,9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Яковлева Н.Ш.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259,1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259,1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259,1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91,65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259,1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91,65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АПК «Союз»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7,0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«Песчаный карьер»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29,2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Физические лица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4,1</w:t>
            </w:r>
          </w:p>
        </w:tc>
        <w:tc>
          <w:tcPr>
            <w:tcW w:w="1275" w:type="dxa"/>
            <w:gridSpan w:val="2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1,0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Pr="00E84F14" w:rsidRDefault="003C5548" w:rsidP="00D07089">
            <w:pPr>
              <w:ind w:right="-1"/>
            </w:pPr>
            <w:r>
              <w:t>Прочие</w:t>
            </w:r>
            <w:r w:rsidRPr="00E84F14">
              <w:t xml:space="preserve"> дебиторы</w:t>
            </w:r>
          </w:p>
        </w:tc>
        <w:tc>
          <w:tcPr>
            <w:tcW w:w="992" w:type="dxa"/>
            <w:vAlign w:val="center"/>
          </w:tcPr>
          <w:p w:rsidR="003C5548" w:rsidRPr="00E84F14" w:rsidRDefault="003C5548" w:rsidP="00D07089">
            <w:pPr>
              <w:ind w:right="-1"/>
              <w:jc w:val="center"/>
              <w:rPr>
                <w:sz w:val="23"/>
                <w:szCs w:val="23"/>
              </w:rPr>
            </w:pPr>
            <w:r w:rsidRPr="00E84F14">
              <w:rPr>
                <w:sz w:val="23"/>
                <w:szCs w:val="23"/>
              </w:rPr>
              <w:t>4,73</w:t>
            </w:r>
          </w:p>
        </w:tc>
        <w:tc>
          <w:tcPr>
            <w:tcW w:w="1276" w:type="dxa"/>
            <w:vAlign w:val="center"/>
          </w:tcPr>
          <w:p w:rsidR="003C5548" w:rsidRPr="00E84F14" w:rsidRDefault="003C5548" w:rsidP="00D07089">
            <w:pPr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vAlign w:val="center"/>
          </w:tcPr>
          <w:p w:rsidR="003C5548" w:rsidRPr="00E84F14" w:rsidRDefault="003C5548" w:rsidP="00D07089">
            <w:pPr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2,57</w:t>
            </w:r>
          </w:p>
        </w:tc>
        <w:tc>
          <w:tcPr>
            <w:tcW w:w="1275" w:type="dxa"/>
            <w:gridSpan w:val="2"/>
            <w:vAlign w:val="center"/>
          </w:tcPr>
          <w:p w:rsidR="003C5548" w:rsidRPr="00E84F14" w:rsidRDefault="003C5548" w:rsidP="00D07089">
            <w:pPr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3C5548" w:rsidRPr="00E84F14" w:rsidRDefault="003C5548" w:rsidP="00D07089">
            <w:pPr>
              <w:ind w:right="-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7,51</w:t>
            </w:r>
          </w:p>
        </w:tc>
        <w:tc>
          <w:tcPr>
            <w:tcW w:w="1186" w:type="dxa"/>
            <w:vAlign w:val="center"/>
          </w:tcPr>
          <w:p w:rsidR="003C5548" w:rsidRPr="00E84F14" w:rsidRDefault="003C5548" w:rsidP="00D07089">
            <w:pPr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3C5548" w:rsidTr="00D07089">
        <w:tc>
          <w:tcPr>
            <w:tcW w:w="2943" w:type="dxa"/>
          </w:tcPr>
          <w:p w:rsidR="003C5548" w:rsidRPr="00AB5C4B" w:rsidRDefault="003C5548" w:rsidP="00D07089">
            <w:pPr>
              <w:ind w:right="-1"/>
              <w:rPr>
                <w:b/>
              </w:rPr>
            </w:pPr>
            <w:r w:rsidRPr="00AB5C4B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3C5548" w:rsidRPr="006154F1" w:rsidRDefault="003C5548" w:rsidP="00D07089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6154F1">
              <w:rPr>
                <w:b/>
                <w:sz w:val="23"/>
                <w:szCs w:val="23"/>
              </w:rPr>
              <w:t>971,15</w:t>
            </w:r>
          </w:p>
        </w:tc>
        <w:tc>
          <w:tcPr>
            <w:tcW w:w="1276" w:type="dxa"/>
            <w:vAlign w:val="center"/>
          </w:tcPr>
          <w:p w:rsidR="003C5548" w:rsidRPr="006154F1" w:rsidRDefault="003C5548" w:rsidP="00D07089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6154F1">
              <w:rPr>
                <w:b/>
                <w:sz w:val="23"/>
                <w:szCs w:val="23"/>
              </w:rPr>
              <w:t>522,95</w:t>
            </w:r>
          </w:p>
        </w:tc>
        <w:tc>
          <w:tcPr>
            <w:tcW w:w="993" w:type="dxa"/>
            <w:vAlign w:val="center"/>
          </w:tcPr>
          <w:p w:rsidR="003C5548" w:rsidRPr="006154F1" w:rsidRDefault="003C5548" w:rsidP="00D07089">
            <w:pPr>
              <w:ind w:right="-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1418,2</w:t>
            </w:r>
          </w:p>
        </w:tc>
        <w:tc>
          <w:tcPr>
            <w:tcW w:w="1275" w:type="dxa"/>
            <w:gridSpan w:val="2"/>
            <w:vAlign w:val="center"/>
          </w:tcPr>
          <w:p w:rsidR="003C5548" w:rsidRPr="006154F1" w:rsidRDefault="003C5548" w:rsidP="00D07089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6154F1">
              <w:rPr>
                <w:b/>
                <w:sz w:val="23"/>
                <w:szCs w:val="23"/>
              </w:rPr>
              <w:t>347,2</w:t>
            </w:r>
          </w:p>
        </w:tc>
        <w:tc>
          <w:tcPr>
            <w:tcW w:w="1134" w:type="dxa"/>
            <w:vAlign w:val="center"/>
          </w:tcPr>
          <w:p w:rsidR="003C5548" w:rsidRPr="006154F1" w:rsidRDefault="003C5548" w:rsidP="00D07089">
            <w:pPr>
              <w:ind w:right="-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1607,9</w:t>
            </w:r>
          </w:p>
        </w:tc>
        <w:tc>
          <w:tcPr>
            <w:tcW w:w="1186" w:type="dxa"/>
            <w:vAlign w:val="center"/>
          </w:tcPr>
          <w:p w:rsidR="003C5548" w:rsidRPr="006154F1" w:rsidRDefault="003C5548" w:rsidP="00D07089">
            <w:pPr>
              <w:ind w:right="-1"/>
              <w:jc w:val="center"/>
              <w:rPr>
                <w:b/>
                <w:sz w:val="23"/>
                <w:szCs w:val="23"/>
              </w:rPr>
            </w:pPr>
            <w:r w:rsidRPr="006154F1">
              <w:rPr>
                <w:b/>
                <w:sz w:val="23"/>
                <w:szCs w:val="23"/>
              </w:rPr>
              <w:t>322,2</w:t>
            </w:r>
          </w:p>
        </w:tc>
      </w:tr>
    </w:tbl>
    <w:p w:rsidR="00C73479" w:rsidRDefault="00C73479" w:rsidP="003C5548">
      <w:pPr>
        <w:spacing w:line="360" w:lineRule="auto"/>
        <w:ind w:firstLine="851"/>
        <w:jc w:val="both"/>
      </w:pPr>
    </w:p>
    <w:p w:rsidR="003C5548" w:rsidRDefault="003C5548" w:rsidP="003C5548">
      <w:pPr>
        <w:spacing w:line="360" w:lineRule="auto"/>
        <w:ind w:firstLine="851"/>
        <w:jc w:val="both"/>
      </w:pPr>
      <w:r>
        <w:t xml:space="preserve">Из представленных данных в таблице можно сделать вывод, что значительно возросла задолженность по аренде земли, арендуемой гаражными кооперативами, расположенными на территории Сосновского городского поселения, а именно на 270,1 тыс. руб. или на 66,5% в 2016 году по отношению к 2014 году. Также за 2016 год образовалась задолженность по арендуемой земле МУП «Городской рынок» </w:t>
      </w:r>
      <w:proofErr w:type="gramStart"/>
      <w:r>
        <w:t>г</w:t>
      </w:r>
      <w:proofErr w:type="gramEnd"/>
      <w:r>
        <w:t>. Сосновки в сумме 26,4 тыс. руб. За данный период  также значительно увеличилась задолженность по аренде земельных участков, арендуемой физическими лицами и расположенной на территории Сосновского городского поселения, а именно на 95,8 тыс. руб. или на 82,6%.</w:t>
      </w:r>
    </w:p>
    <w:p w:rsidR="003C5548" w:rsidRDefault="003C5548" w:rsidP="003C5548">
      <w:pPr>
        <w:spacing w:line="360" w:lineRule="auto"/>
        <w:ind w:firstLine="851"/>
        <w:jc w:val="both"/>
      </w:pPr>
      <w:r>
        <w:t xml:space="preserve">По </w:t>
      </w:r>
      <w:proofErr w:type="spellStart"/>
      <w:r>
        <w:t>Краснополянскому</w:t>
      </w:r>
      <w:proofErr w:type="spellEnd"/>
      <w:r>
        <w:t xml:space="preserve"> городскому поселению также увеличилась недоимка по аренде земли физическими лицами, а именно на 4,4 тыс. руб. или на 43,1%. Отсутствуют платежи по арендатору Ситников А.А., которые составляют 56,1 тыс. руб., по которому поданы исковые требования в суд.</w:t>
      </w:r>
    </w:p>
    <w:p w:rsidR="003C5548" w:rsidRDefault="003C5548" w:rsidP="003C5548">
      <w:pPr>
        <w:spacing w:line="360" w:lineRule="auto"/>
        <w:ind w:firstLine="851"/>
        <w:jc w:val="both"/>
      </w:pPr>
      <w:r>
        <w:lastRenderedPageBreak/>
        <w:t xml:space="preserve">По </w:t>
      </w:r>
      <w:proofErr w:type="spellStart"/>
      <w:r>
        <w:t>Омгинскому</w:t>
      </w:r>
      <w:proofErr w:type="spellEnd"/>
      <w:r>
        <w:t xml:space="preserve"> сельскому поселению значительно увеличилась сумма недоимки по земле, арендуемой ООО «</w:t>
      </w:r>
      <w:proofErr w:type="spellStart"/>
      <w:r>
        <w:t>Омга</w:t>
      </w:r>
      <w:proofErr w:type="spellEnd"/>
      <w:r>
        <w:t>», а именно на 57,5 тыс. руб. или на 50%</w:t>
      </w:r>
      <w:r w:rsidR="00DB6E4C">
        <w:t>,</w:t>
      </w:r>
      <w:r>
        <w:t xml:space="preserve"> которые составляют 115,0 тыс. руб.</w:t>
      </w:r>
      <w:r w:rsidR="00DB6E4C">
        <w:t xml:space="preserve"> В 2016 году в суд направлены исковые заявления о взыскании задолженности.</w:t>
      </w:r>
    </w:p>
    <w:p w:rsidR="003C5548" w:rsidRDefault="003C5548" w:rsidP="003C5548">
      <w:pPr>
        <w:spacing w:line="360" w:lineRule="auto"/>
        <w:ind w:firstLine="851"/>
        <w:jc w:val="both"/>
      </w:pPr>
      <w:r>
        <w:t xml:space="preserve">В </w:t>
      </w:r>
      <w:proofErr w:type="spellStart"/>
      <w:r>
        <w:t>Среднешунском</w:t>
      </w:r>
      <w:proofErr w:type="spellEnd"/>
      <w:r>
        <w:t xml:space="preserve"> сельском поселении по арендатору </w:t>
      </w:r>
      <w:proofErr w:type="spellStart"/>
      <w:r>
        <w:t>Агаеву</w:t>
      </w:r>
      <w:proofErr w:type="spellEnd"/>
      <w:r>
        <w:t xml:space="preserve"> Ф.А. значительно увеличилась недоимка, а именно на 17,7 тыс. руб. или на 50% по отношению к 2015 году. Платежи не </w:t>
      </w:r>
      <w:proofErr w:type="gramStart"/>
      <w:r>
        <w:t>осуществлялись в течение 2-х лет  и на данный момент задолженность составляет</w:t>
      </w:r>
      <w:proofErr w:type="gramEnd"/>
      <w:r>
        <w:t xml:space="preserve"> 35,4 тыс. руб.</w:t>
      </w:r>
    </w:p>
    <w:p w:rsidR="003C5548" w:rsidRDefault="003C5548" w:rsidP="003C5548">
      <w:pPr>
        <w:spacing w:line="360" w:lineRule="auto"/>
        <w:ind w:firstLine="851"/>
        <w:jc w:val="both"/>
      </w:pPr>
      <w:r>
        <w:t xml:space="preserve">В </w:t>
      </w:r>
      <w:proofErr w:type="spellStart"/>
      <w:r>
        <w:t>Старопинигерском</w:t>
      </w:r>
      <w:proofErr w:type="spellEnd"/>
      <w:r>
        <w:t xml:space="preserve"> сельском поселении  увеличилась задолженность по арендатор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Пинигерский</w:t>
      </w:r>
      <w:proofErr w:type="spellEnd"/>
      <w:r>
        <w:t>» на 27,7 тыс. руб. или на 52,2% по отношению к 2014 году. Платежи не осуществляются на протяжении почти 2-х лет и на данный момент составляют 53,1 тыс. руб. По данному арендатору поданы исковые требования о погашении задолженности в суд.</w:t>
      </w:r>
    </w:p>
    <w:p w:rsidR="003C5548" w:rsidRDefault="003C5548" w:rsidP="003C5548">
      <w:pPr>
        <w:ind w:right="-1" w:firstLine="851"/>
        <w:jc w:val="both"/>
      </w:pPr>
      <w:r>
        <w:t>Структура и динамика дебиторской задолженности по аренде имущества представлена в таблице</w:t>
      </w:r>
    </w:p>
    <w:p w:rsidR="003C5548" w:rsidRDefault="003C5548" w:rsidP="003C5548">
      <w:pPr>
        <w:ind w:right="-1" w:firstLine="851"/>
        <w:jc w:val="right"/>
      </w:pPr>
      <w:r>
        <w:t>тыс. руб.</w:t>
      </w:r>
    </w:p>
    <w:tbl>
      <w:tblPr>
        <w:tblStyle w:val="a7"/>
        <w:tblW w:w="9799" w:type="dxa"/>
        <w:tblLayout w:type="fixed"/>
        <w:tblLook w:val="04A0"/>
      </w:tblPr>
      <w:tblGrid>
        <w:gridCol w:w="2943"/>
        <w:gridCol w:w="992"/>
        <w:gridCol w:w="1276"/>
        <w:gridCol w:w="993"/>
        <w:gridCol w:w="1275"/>
        <w:gridCol w:w="1134"/>
        <w:gridCol w:w="1186"/>
      </w:tblGrid>
      <w:tr w:rsidR="003C5548" w:rsidTr="00D07089">
        <w:tc>
          <w:tcPr>
            <w:tcW w:w="2943" w:type="dxa"/>
            <w:vMerge w:val="restart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Наименование должника</w:t>
            </w:r>
          </w:p>
        </w:tc>
        <w:tc>
          <w:tcPr>
            <w:tcW w:w="2268" w:type="dxa"/>
            <w:gridSpan w:val="2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 01.01.2015 г.</w:t>
            </w:r>
          </w:p>
        </w:tc>
        <w:tc>
          <w:tcPr>
            <w:tcW w:w="2268" w:type="dxa"/>
            <w:gridSpan w:val="2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 01.01.2016 г.</w:t>
            </w:r>
          </w:p>
        </w:tc>
        <w:tc>
          <w:tcPr>
            <w:tcW w:w="2320" w:type="dxa"/>
            <w:gridSpan w:val="2"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  <w:r>
              <w:t>На 01.01.2017 г.</w:t>
            </w:r>
          </w:p>
        </w:tc>
      </w:tr>
      <w:tr w:rsidR="003C5548" w:rsidTr="00D07089">
        <w:tc>
          <w:tcPr>
            <w:tcW w:w="2943" w:type="dxa"/>
            <w:vMerge/>
            <w:vAlign w:val="center"/>
          </w:tcPr>
          <w:p w:rsidR="003C5548" w:rsidRDefault="003C5548" w:rsidP="00D07089">
            <w:pPr>
              <w:spacing w:line="360" w:lineRule="auto"/>
              <w:ind w:right="-1"/>
              <w:jc w:val="center"/>
            </w:pPr>
          </w:p>
        </w:tc>
        <w:tc>
          <w:tcPr>
            <w:tcW w:w="992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r w:rsidRPr="00733C71">
              <w:rPr>
                <w:sz w:val="22"/>
                <w:szCs w:val="22"/>
              </w:rPr>
              <w:t>сумма</w:t>
            </w:r>
          </w:p>
        </w:tc>
        <w:tc>
          <w:tcPr>
            <w:tcW w:w="1276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proofErr w:type="gramStart"/>
            <w:r w:rsidRPr="00733C71">
              <w:rPr>
                <w:sz w:val="22"/>
                <w:szCs w:val="22"/>
              </w:rPr>
              <w:t>Невозможная</w:t>
            </w:r>
            <w:proofErr w:type="gramEnd"/>
            <w:r w:rsidRPr="00733C71">
              <w:rPr>
                <w:sz w:val="22"/>
                <w:szCs w:val="22"/>
              </w:rPr>
              <w:t xml:space="preserve"> к взысканию</w:t>
            </w:r>
          </w:p>
        </w:tc>
        <w:tc>
          <w:tcPr>
            <w:tcW w:w="993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r w:rsidRPr="00733C71">
              <w:rPr>
                <w:sz w:val="22"/>
                <w:szCs w:val="22"/>
              </w:rPr>
              <w:t>сумма</w:t>
            </w:r>
          </w:p>
        </w:tc>
        <w:tc>
          <w:tcPr>
            <w:tcW w:w="1275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proofErr w:type="gramStart"/>
            <w:r w:rsidRPr="00733C71">
              <w:rPr>
                <w:sz w:val="22"/>
                <w:szCs w:val="22"/>
              </w:rPr>
              <w:t>Невозможная</w:t>
            </w:r>
            <w:proofErr w:type="gramEnd"/>
            <w:r w:rsidRPr="00733C71">
              <w:rPr>
                <w:sz w:val="22"/>
                <w:szCs w:val="22"/>
              </w:rPr>
              <w:t xml:space="preserve"> к взысканию</w:t>
            </w:r>
          </w:p>
        </w:tc>
        <w:tc>
          <w:tcPr>
            <w:tcW w:w="1134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r w:rsidRPr="00733C71">
              <w:rPr>
                <w:sz w:val="22"/>
                <w:szCs w:val="22"/>
              </w:rPr>
              <w:t>сумма</w:t>
            </w:r>
          </w:p>
        </w:tc>
        <w:tc>
          <w:tcPr>
            <w:tcW w:w="1186" w:type="dxa"/>
            <w:vAlign w:val="center"/>
          </w:tcPr>
          <w:p w:rsidR="003C5548" w:rsidRPr="00733C71" w:rsidRDefault="003C5548" w:rsidP="00D07089">
            <w:pPr>
              <w:ind w:right="-1"/>
              <w:jc w:val="center"/>
            </w:pPr>
            <w:proofErr w:type="gramStart"/>
            <w:r w:rsidRPr="00733C71">
              <w:rPr>
                <w:sz w:val="22"/>
                <w:szCs w:val="22"/>
              </w:rPr>
              <w:t>Невозможная</w:t>
            </w:r>
            <w:proofErr w:type="gramEnd"/>
            <w:r w:rsidRPr="00733C71">
              <w:rPr>
                <w:sz w:val="22"/>
                <w:szCs w:val="22"/>
              </w:rPr>
              <w:t xml:space="preserve"> к взысканию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 xml:space="preserve">ОАО Газпром Газораспределение Киров 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3,81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113,85</w:t>
            </w:r>
          </w:p>
        </w:tc>
        <w:tc>
          <w:tcPr>
            <w:tcW w:w="1275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753,93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ИП Кузнецов В.А.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40,01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40,01</w:t>
            </w:r>
          </w:p>
        </w:tc>
        <w:tc>
          <w:tcPr>
            <w:tcW w:w="1275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40,01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40,01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«Новый век»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27,63</w:t>
            </w:r>
          </w:p>
        </w:tc>
        <w:tc>
          <w:tcPr>
            <w:tcW w:w="1275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27,63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«Лагуна»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131,95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Default="003C5548" w:rsidP="00D07089">
            <w:pPr>
              <w:ind w:right="-1"/>
            </w:pPr>
            <w:r>
              <w:t>ООО Алмаз-1»</w:t>
            </w:r>
          </w:p>
        </w:tc>
        <w:tc>
          <w:tcPr>
            <w:tcW w:w="992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16,93</w:t>
            </w:r>
          </w:p>
        </w:tc>
        <w:tc>
          <w:tcPr>
            <w:tcW w:w="1186" w:type="dxa"/>
            <w:vAlign w:val="center"/>
          </w:tcPr>
          <w:p w:rsidR="003C5548" w:rsidRDefault="003C5548" w:rsidP="00D07089">
            <w:pPr>
              <w:ind w:right="-1"/>
              <w:jc w:val="center"/>
            </w:pPr>
            <w:r>
              <w:t>-</w:t>
            </w:r>
          </w:p>
        </w:tc>
      </w:tr>
      <w:tr w:rsidR="003C5548" w:rsidTr="00D07089">
        <w:tc>
          <w:tcPr>
            <w:tcW w:w="2943" w:type="dxa"/>
          </w:tcPr>
          <w:p w:rsidR="003C5548" w:rsidRPr="00B87D75" w:rsidRDefault="003C5548" w:rsidP="00D07089">
            <w:pPr>
              <w:ind w:right="-1"/>
              <w:rPr>
                <w:b/>
              </w:rPr>
            </w:pPr>
            <w:r w:rsidRPr="00B87D75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3C5548" w:rsidRPr="00B87D75" w:rsidRDefault="003C5548" w:rsidP="00D07089">
            <w:pPr>
              <w:ind w:right="-1"/>
              <w:jc w:val="center"/>
              <w:rPr>
                <w:b/>
              </w:rPr>
            </w:pPr>
            <w:r w:rsidRPr="00B87D75">
              <w:rPr>
                <w:b/>
              </w:rPr>
              <w:t>43,82</w:t>
            </w:r>
          </w:p>
        </w:tc>
        <w:tc>
          <w:tcPr>
            <w:tcW w:w="1276" w:type="dxa"/>
            <w:vAlign w:val="center"/>
          </w:tcPr>
          <w:p w:rsidR="003C5548" w:rsidRPr="00B87D75" w:rsidRDefault="003C5548" w:rsidP="00D07089">
            <w:pPr>
              <w:ind w:right="-1"/>
              <w:jc w:val="center"/>
              <w:rPr>
                <w:b/>
              </w:rPr>
            </w:pPr>
            <w:r w:rsidRPr="00B87D75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3C5548" w:rsidRPr="00B87D75" w:rsidRDefault="003C5548" w:rsidP="00D07089">
            <w:pPr>
              <w:ind w:right="-1"/>
              <w:jc w:val="center"/>
              <w:rPr>
                <w:b/>
              </w:rPr>
            </w:pPr>
            <w:r w:rsidRPr="00B87D75">
              <w:rPr>
                <w:b/>
              </w:rPr>
              <w:t>181,49</w:t>
            </w:r>
          </w:p>
        </w:tc>
        <w:tc>
          <w:tcPr>
            <w:tcW w:w="1275" w:type="dxa"/>
            <w:vAlign w:val="center"/>
          </w:tcPr>
          <w:p w:rsidR="003C5548" w:rsidRPr="00B87D75" w:rsidRDefault="003C5548" w:rsidP="00D07089">
            <w:pPr>
              <w:ind w:right="-1"/>
              <w:jc w:val="center"/>
              <w:rPr>
                <w:b/>
              </w:rPr>
            </w:pPr>
            <w:r w:rsidRPr="00B87D75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3C5548" w:rsidRPr="00B87D75" w:rsidRDefault="003C5548" w:rsidP="00D07089">
            <w:pPr>
              <w:ind w:right="-1"/>
              <w:jc w:val="center"/>
              <w:rPr>
                <w:b/>
              </w:rPr>
            </w:pPr>
            <w:r w:rsidRPr="00B87D75">
              <w:rPr>
                <w:b/>
              </w:rPr>
              <w:t>970,45</w:t>
            </w:r>
          </w:p>
        </w:tc>
        <w:tc>
          <w:tcPr>
            <w:tcW w:w="1186" w:type="dxa"/>
            <w:vAlign w:val="center"/>
          </w:tcPr>
          <w:p w:rsidR="003C5548" w:rsidRPr="00B87D75" w:rsidRDefault="003C5548" w:rsidP="00D07089">
            <w:pPr>
              <w:ind w:right="-1"/>
              <w:jc w:val="center"/>
              <w:rPr>
                <w:b/>
              </w:rPr>
            </w:pPr>
            <w:r w:rsidRPr="00B87D75">
              <w:rPr>
                <w:b/>
              </w:rPr>
              <w:t>-</w:t>
            </w:r>
          </w:p>
        </w:tc>
      </w:tr>
    </w:tbl>
    <w:p w:rsidR="003C5548" w:rsidRDefault="003C5548" w:rsidP="003C5548">
      <w:pPr>
        <w:spacing w:line="360" w:lineRule="auto"/>
        <w:ind w:firstLine="851"/>
        <w:jc w:val="both"/>
      </w:pPr>
    </w:p>
    <w:p w:rsidR="003C5548" w:rsidRDefault="003C5548" w:rsidP="003C5548">
      <w:pPr>
        <w:spacing w:line="360" w:lineRule="auto"/>
        <w:ind w:firstLine="851"/>
        <w:jc w:val="both"/>
      </w:pPr>
      <w:r>
        <w:t>Из таблицы видно, что значительно увеличилась сумма по недоимке за аренду имущества, арендованного ОАО Газпром Газораспределение Киров, а именно на 750,12 тыс. руб. в 2016 году по отношению к 2014 году. Сроки просрочки арендных платежей составляют от 3-х до 4-х месяцев по всем договорам аренды.</w:t>
      </w:r>
    </w:p>
    <w:p w:rsidR="003C5548" w:rsidRDefault="003C5548" w:rsidP="003C5548">
      <w:pPr>
        <w:spacing w:line="360" w:lineRule="auto"/>
        <w:ind w:firstLine="851"/>
        <w:jc w:val="both"/>
      </w:pPr>
      <w:r>
        <w:t>С арендатором ООО «Новый век» договор аренды расторгнут 30.06. 2015 года и сумма недоимки в размере 27 629,5 руб. не погашалась с ноября 2015 года</w:t>
      </w:r>
      <w:proofErr w:type="gramStart"/>
      <w:r>
        <w:t>.</w:t>
      </w:r>
      <w:proofErr w:type="gramEnd"/>
      <w:r w:rsidR="00AC7F82">
        <w:t xml:space="preserve"> </w:t>
      </w:r>
      <w:r w:rsidR="00AC7F82" w:rsidRPr="00DD7163">
        <w:t xml:space="preserve">В </w:t>
      </w:r>
      <w:r w:rsidR="00DD7163" w:rsidRPr="00DD7163">
        <w:t xml:space="preserve">ноябре </w:t>
      </w:r>
      <w:r w:rsidR="00AC7F82" w:rsidRPr="00DD7163">
        <w:t>2016</w:t>
      </w:r>
      <w:r w:rsidR="00AC7F82" w:rsidRPr="00AC7F82">
        <w:rPr>
          <w:b/>
        </w:rPr>
        <w:t xml:space="preserve"> года</w:t>
      </w:r>
      <w:r w:rsidR="00AC7F82">
        <w:t xml:space="preserve"> исполнительный лист для взыскания задолженности был направлен в службу судебных приставов.</w:t>
      </w:r>
    </w:p>
    <w:p w:rsidR="003C5548" w:rsidRDefault="003C5548" w:rsidP="003C5548">
      <w:pPr>
        <w:spacing w:line="360" w:lineRule="auto"/>
        <w:ind w:firstLine="851"/>
        <w:jc w:val="both"/>
      </w:pPr>
      <w:r>
        <w:t>Сумма недоимки  по аренде имущества в размере 131 946,52 руб. с ООО «Лагуна» образовалась в результате отсутствия платежей на протяжении всего 2016 года.</w:t>
      </w:r>
    </w:p>
    <w:p w:rsidR="003C5548" w:rsidRDefault="003C5548" w:rsidP="003C5548">
      <w:pPr>
        <w:spacing w:line="360" w:lineRule="auto"/>
        <w:ind w:firstLine="851"/>
        <w:jc w:val="both"/>
      </w:pPr>
      <w:r>
        <w:lastRenderedPageBreak/>
        <w:t>Сумма недоимки в размере 16 932,79 руб. п</w:t>
      </w:r>
      <w:proofErr w:type="gramStart"/>
      <w:r>
        <w:t>о ООО</w:t>
      </w:r>
      <w:proofErr w:type="gramEnd"/>
      <w:r>
        <w:t xml:space="preserve"> «Алмаз-1» образовалась в результате отсутствия платежей по аренде имущества на протяжении 7 месяцев 2016 года.</w:t>
      </w:r>
    </w:p>
    <w:p w:rsidR="00654726" w:rsidRDefault="00654726" w:rsidP="00DF596C">
      <w:pPr>
        <w:tabs>
          <w:tab w:val="left" w:pos="0"/>
        </w:tabs>
        <w:spacing w:line="360" w:lineRule="auto"/>
        <w:ind w:firstLine="851"/>
        <w:contextualSpacing/>
        <w:rPr>
          <w:b/>
        </w:rPr>
      </w:pPr>
    </w:p>
    <w:p w:rsidR="00654726" w:rsidRDefault="00654726" w:rsidP="00BC645A">
      <w:pPr>
        <w:tabs>
          <w:tab w:val="left" w:pos="0"/>
        </w:tabs>
        <w:ind w:firstLine="851"/>
        <w:contextualSpacing/>
        <w:jc w:val="center"/>
        <w:rPr>
          <w:b/>
        </w:rPr>
      </w:pPr>
      <w:r>
        <w:rPr>
          <w:b/>
        </w:rPr>
        <w:t>Анализ полноты плановых мероприятий по увеличению поступлений налоговых и неналоговых доходов</w:t>
      </w:r>
    </w:p>
    <w:p w:rsidR="00C16F9F" w:rsidRDefault="00C16F9F" w:rsidP="00C16F9F">
      <w:pPr>
        <w:tabs>
          <w:tab w:val="left" w:pos="0"/>
        </w:tabs>
        <w:spacing w:line="360" w:lineRule="auto"/>
        <w:ind w:firstLine="851"/>
        <w:contextualSpacing/>
        <w:jc w:val="both"/>
      </w:pP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>
        <w:t>В целях обеспечения взаимодействия администрации Вятскополянского района с территориальными структурами федеральных  органов исполнительной власти, органами местного самоуправления городских и сельских поселений, предприятиями и организациями по реализации мер, направленных на обеспечение поступления налоговых и неналоговых доходов, сокращение недоимки, а также увеличение налоговой базы по налогам, формирующим консолидированный бюджет области, в  Вятскополянском районе действует межведомственная Комиссия по вопросам легализации заработной платы, обеспечению</w:t>
      </w:r>
      <w:proofErr w:type="gramEnd"/>
      <w:r>
        <w:t xml:space="preserve"> поступления доходов в областной и районный бюджеты и решению проблем убыточности налогоплательщиков, </w:t>
      </w:r>
      <w:proofErr w:type="gramStart"/>
      <w:r>
        <w:t>утвержденная</w:t>
      </w:r>
      <w:proofErr w:type="gramEnd"/>
      <w:r>
        <w:t xml:space="preserve"> постановлением главы администрации Вятскополянского района от 28.06.2013 г. № 1066 (с изменениями). Возглавляет Комиссию глава администрации Вятскополянского района. В работе Комиссии принимают участие представители: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правоохранительных органов;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межрайонной инспекции по налогам и сборам;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управления пенсионного фонда;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фонда социального страхования.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Кроме того постановлением администрации Вятскополянского района от 29.08.2013 г. № 1416  созданы межведомственные рабочие группы, которые осуществляют свою деятельность по трем направлениям: расширение налоговой базы по имущественным налогам; легализация налоговой базы по доходам, получаемым юридическими и физическими лицами от предпринимательской и иной деятельности; повышение поступлений налоговых и неналоговых доходов.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Постановлением администрации Вятскополянского района от 17.02.2015 г. № 159 утверждён план мероприятий по легализации неформального рынка труда, повышению поступления налоговых и неналоговых доходов и снижению задолженности. 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План мероприятий содержит следующие разделы для проведения работы: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мероприятия по легализации неформального рынка труда и увеличению поступлений в бюджет;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мероприятия по увеличению налогооблагаемой базы;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lastRenderedPageBreak/>
        <w:t>- мероприятия по своевременной уплате платежей в бюджет и снижению задолженности;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мероприятия по проведению индивидуальной работы с налогоплательщиками и работодателями;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мероприятия по информационной работе.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>
        <w:t>Для проведения индивидуальной работы МРИ ФНС № 4 по Кировской области администрации Вятскополянского района и администрациям городских и сельских поселений ежемесячно представляет сведения о налогоплательщиках, имеющих задолженность по налогам и сборам, ежеквартально – об организациях, заявивших убытки в налоговых декларациях, и об организациях, выплачивающих заработную плату, по данным отчетности, ниже прожиточного минимума и минимального размера оплаты труда.</w:t>
      </w:r>
      <w:proofErr w:type="gramEnd"/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Ежемесячно проводятся рейды с участием правоохранительных органов и представителей налоговой службы </w:t>
      </w:r>
      <w:r w:rsidR="00E954F2">
        <w:t xml:space="preserve"> </w:t>
      </w:r>
      <w:r>
        <w:t>по выявлению фактов незаконной предпринимательской деятельности, ежедекадно проводятся рейды по выявлению фактов выплат «теневой» заработной платы, несвоевременной выплаты заработной платы и соблюдению трудового законодательства в плане официального оформления трудовых отношений с работниками.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Также в течение года проводятся работы по идентификации плательщиков имущественных налогов, уточнению сведений о земельных участках и объектах недвижимости для целей налогообложения, проводятся инвентаризации незарегистрированных объектов недвижимого имущества из числа объектов незавершённого строительства, по выявлению объектов недвижимого имущества и земельных участков, право собственности на которые, не зарегистрировано.</w:t>
      </w:r>
    </w:p>
    <w:p w:rsidR="00166E7D" w:rsidRPr="00C16F9F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Юридические и физические лица и индивидуальные предприниматели приглашаются на заседания Комиссии, где проводится анализ </w:t>
      </w:r>
      <w:proofErr w:type="spellStart"/>
      <w:r>
        <w:t>финансово-зкономической</w:t>
      </w:r>
      <w:proofErr w:type="spellEnd"/>
      <w:r>
        <w:t xml:space="preserve"> деятельности в целях выявления возможностей для повышения уровня заработной платы и погашения недоимки, а также индивидуальная разъяснительная работа по уплате налогов. Кроме того регулярно проводятся выездные заседания Комиссии на территории поселений района. Также регулярно направляются письма-уведомления для добровольного погашения задолженности по налоговым и неналоговым доходам с приложением квитанций по соответствующим налогам с указанием сумм.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За 2015 год проведено 28 заседаний Комиссии, в том числе 14 выездных на территориях городских и сельских поселений района. По вопросу обеспечения поступления доходов и сокращения недоимки было приглашено 281 налогоплательщиков, </w:t>
      </w:r>
      <w:r>
        <w:lastRenderedPageBreak/>
        <w:t xml:space="preserve">в том числе: 58 – юридических лиц; 52 – индивидуальных предпринимателя; 171 – физических лиц  с общей суммой задолженности во все уровни бюджета 9 206,0 тыс. руб. </w:t>
      </w:r>
    </w:p>
    <w:p w:rsidR="00166E7D" w:rsidRDefault="00166E7D" w:rsidP="00166E7D">
      <w:pPr>
        <w:tabs>
          <w:tab w:val="left" w:pos="0"/>
        </w:tabs>
        <w:spacing w:line="360" w:lineRule="auto"/>
        <w:contextualSpacing/>
        <w:jc w:val="both"/>
      </w:pPr>
      <w:r>
        <w:t xml:space="preserve">Количество налогоплательщиков, приглашённых на заседания Комиссии, но не явившихся составляет 167 единиц, в том числе: 18 – юридических лиц; 19 – индивидуальных предпринимателей; 130 – физических лиц. Погашено задолженности во все уровни бюджета 187 лицами на общую сумму 5 597,0 тыс. руб. (60,8%), в том числе: </w:t>
      </w:r>
    </w:p>
    <w:p w:rsidR="00166E7D" w:rsidRDefault="00166E7D" w:rsidP="00166E7D">
      <w:pPr>
        <w:tabs>
          <w:tab w:val="left" w:pos="0"/>
        </w:tabs>
        <w:spacing w:line="360" w:lineRule="auto"/>
        <w:contextualSpacing/>
        <w:jc w:val="both"/>
      </w:pPr>
      <w:r>
        <w:t xml:space="preserve">- не явившимися </w:t>
      </w:r>
      <w:r w:rsidR="005162FF">
        <w:t xml:space="preserve">на заседание Комиссии </w:t>
      </w:r>
      <w:r>
        <w:t>налогоплательщиками была добровольно погашена имеющаяся задолженность в сумме 772,0 тыс. руб. из 2 156,7 тыс. руб.  или 35,8%;</w:t>
      </w:r>
    </w:p>
    <w:p w:rsidR="00166E7D" w:rsidRDefault="00166E7D" w:rsidP="00166E7D">
      <w:pPr>
        <w:tabs>
          <w:tab w:val="left" w:pos="0"/>
        </w:tabs>
        <w:spacing w:line="360" w:lineRule="auto"/>
        <w:contextualSpacing/>
        <w:jc w:val="both"/>
      </w:pPr>
      <w:r>
        <w:t>- явившимися на заседание Комиссии налогоплательщиками была погашена задолженность в сумме 4 825,0 тыс. руб. из 7 049,3 тыс. руб. или 68,4%.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По вопросу легализации заработной платы заслушано 76 работодателей, в том числе: 35 – юридических лиц; 41 – индивидуальных предпринимателей, из них 43 повысили заработную плату работникам и дополнительные поступления налога на доходы физических лиц по данным налогового органа составили 567,0 тыс. руб.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За 2016 год проведено 21 заседани</w:t>
      </w:r>
      <w:r w:rsidR="004E38AA">
        <w:t>е</w:t>
      </w:r>
      <w:r>
        <w:t xml:space="preserve"> Комиссии по вопросам легализации заработной платы, обеспечению поступления доходов в местный бюджет и решению проблем убыточности налогоплательщиков, в том числе 8 выездных заседаний на территориях городских и сельских поселений района.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>
        <w:t>По вопросу обеспечения поступления доходов и сокращения недоимки было приглашено 280 лиц с общей суммой задолженности 6 542,0 тыс. руб.,</w:t>
      </w:r>
      <w:r w:rsidRPr="00DE752B">
        <w:t xml:space="preserve"> </w:t>
      </w:r>
      <w:r>
        <w:t>в том числе: 51 – юридических лиц с суммой задолженности 4 482,0 тыс. руб.; 28 – индивидуальных предпринимателя с суммой задолженности 570,0 тыс. руб.; 201 – физических лиц  с общей суммой задолженности во все уровни бюджета 1 490,0 тыс. руб. Количество налогоплательщиков, приглашённых</w:t>
      </w:r>
      <w:proofErr w:type="gramEnd"/>
      <w:r>
        <w:t xml:space="preserve"> на заседания Комиссии, но не явившихся составляет 122 единиц</w:t>
      </w:r>
      <w:r w:rsidR="004E38AA">
        <w:t>ы</w:t>
      </w:r>
      <w:r>
        <w:t xml:space="preserve">, в том числе: 13 – юридических лиц; 9 – индивидуальных предпринимателей; 100 – физических лиц. Погашено задолженности во все уровни бюджета 125 лицами на общую сумму 3 565,0 тыс. руб. (54,5%), в том числе: </w:t>
      </w:r>
    </w:p>
    <w:p w:rsidR="00166E7D" w:rsidRDefault="00166E7D" w:rsidP="00166E7D">
      <w:pPr>
        <w:tabs>
          <w:tab w:val="left" w:pos="0"/>
        </w:tabs>
        <w:spacing w:line="360" w:lineRule="auto"/>
        <w:contextualSpacing/>
        <w:jc w:val="both"/>
      </w:pPr>
      <w:r>
        <w:t xml:space="preserve">- не явившимися </w:t>
      </w:r>
      <w:r w:rsidR="004E38AA">
        <w:t xml:space="preserve"> </w:t>
      </w:r>
      <w:r>
        <w:t>на заседание Комиссии налогоплательщиками была добровольно погашена имеющаяся задолженность в сумме 317 тыс. руб. из 1 143,0 тыс. руб.  или 27,7%;</w:t>
      </w:r>
    </w:p>
    <w:p w:rsidR="00166E7D" w:rsidRDefault="00166E7D" w:rsidP="00166E7D">
      <w:pPr>
        <w:tabs>
          <w:tab w:val="left" w:pos="0"/>
        </w:tabs>
        <w:spacing w:line="360" w:lineRule="auto"/>
        <w:contextualSpacing/>
        <w:jc w:val="both"/>
      </w:pPr>
      <w:r>
        <w:t>- явившимися на заседание Комиссии налогоплательщиками была погашена задолженность в сумме 3 248,0 тыс. руб. из 5 399,0 тыс. руб. или 60,1%.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По вопросу легализации заработной платы было заслушано 65 работодател</w:t>
      </w:r>
      <w:r w:rsidR="004E38AA">
        <w:t>ей</w:t>
      </w:r>
      <w:r>
        <w:t>,</w:t>
      </w:r>
      <w:r w:rsidRPr="00DE752B">
        <w:t xml:space="preserve"> </w:t>
      </w:r>
      <w:r>
        <w:t xml:space="preserve">в том числе: 39 – юридических лиц; 26 – индивидуальных предпринимателей из них 41 </w:t>
      </w:r>
      <w:r>
        <w:lastRenderedPageBreak/>
        <w:t>повысили заработную плату работникам. Дополнительные поступления налога на доходы физических лиц по данным налогового органа составили 1 075,0 тыс. руб.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Также Комиссией были направлены письма физическим лицам, руководителям организаций и индивидуальным предпринимателям о добровольном погашении задолженности по налоговым и неналоговым платежам во все уровни бюджета: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за 2015 год – 805 пис</w:t>
      </w:r>
      <w:r w:rsidR="004E38AA">
        <w:t>ем</w:t>
      </w:r>
      <w:r>
        <w:t xml:space="preserve"> на общую сумму 2 538,2 тыс. руб., из них погашено на общую сумму 1 441,1 тыс. руб.(56,8%);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- за 2016 год – 110 письмо на сумму 773,0 тыс. руб., из них погашено  </w:t>
      </w:r>
      <w:r w:rsidRPr="00974E20">
        <w:t>по 36 письмам</w:t>
      </w:r>
      <w:r>
        <w:t xml:space="preserve"> на общую сумму 261,0 тыс. руб. (33,8%).</w:t>
      </w:r>
    </w:p>
    <w:p w:rsidR="000533BE" w:rsidRDefault="00232181" w:rsidP="00C16F9F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В 2015 году н</w:t>
      </w:r>
      <w:r w:rsidR="00D22519" w:rsidRPr="00D31059">
        <w:t>аправлен</w:t>
      </w:r>
      <w:r w:rsidR="00D31059">
        <w:t>о 5</w:t>
      </w:r>
      <w:r w:rsidR="00D22519" w:rsidRPr="00D31059">
        <w:t xml:space="preserve"> исковы</w:t>
      </w:r>
      <w:r w:rsidR="00D31059">
        <w:t>х</w:t>
      </w:r>
      <w:r w:rsidR="00D22519" w:rsidRPr="00D31059">
        <w:t xml:space="preserve"> заявлени</w:t>
      </w:r>
      <w:r w:rsidR="00D31059">
        <w:t>й</w:t>
      </w:r>
      <w:r w:rsidR="00D22519" w:rsidRPr="00D31059">
        <w:t xml:space="preserve"> </w:t>
      </w:r>
      <w:r w:rsidR="00D31059">
        <w:t xml:space="preserve"> </w:t>
      </w:r>
      <w:r w:rsidR="00D22519" w:rsidRPr="00D31059">
        <w:t xml:space="preserve"> </w:t>
      </w:r>
      <w:r w:rsidR="00C370C6" w:rsidRPr="00D31059">
        <w:t>по</w:t>
      </w:r>
      <w:r w:rsidR="00D22519" w:rsidRPr="00D31059">
        <w:t xml:space="preserve"> арендным платежам за муниципальное имущество на сумму </w:t>
      </w:r>
      <w:r w:rsidR="00D31059">
        <w:t>634,9 тыс. руб. и 7 исковых заявлений по арендной плате за земельные участки на сумму 209,25 тыс. руб.</w:t>
      </w:r>
      <w:r w:rsidR="000533BE">
        <w:t>, из которых взыскано:</w:t>
      </w:r>
    </w:p>
    <w:p w:rsidR="000533BE" w:rsidRDefault="000533BE" w:rsidP="00C16F9F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- по арендной плате за муниципальное имущество  в полном объеме; </w:t>
      </w:r>
    </w:p>
    <w:p w:rsidR="00D22519" w:rsidRDefault="000533BE" w:rsidP="00C16F9F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по арендной плате за земельные участки - 148,75 тыс. руб. (71%).</w:t>
      </w:r>
    </w:p>
    <w:p w:rsidR="000533BE" w:rsidRPr="00D31059" w:rsidRDefault="00392A27" w:rsidP="00C16F9F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Также должникам было направлено 95 претензий по арендной плате за земельные участки на сумму 878,81 тыс. руб., из которых погашено 48 претензий на сумму 436,17 тыс. руб. (49,6%). И </w:t>
      </w:r>
      <w:r w:rsidR="00DD1A64">
        <w:t>14</w:t>
      </w:r>
      <w:r>
        <w:t xml:space="preserve"> претензий по аренде муниципального имущества на сумму </w:t>
      </w:r>
      <w:r w:rsidR="00DD1A64">
        <w:t>1795,99</w:t>
      </w:r>
      <w:r>
        <w:t xml:space="preserve"> тыс. руб., из которых погашено </w:t>
      </w:r>
      <w:r w:rsidR="00DD1A64">
        <w:t>8</w:t>
      </w:r>
      <w:r>
        <w:t xml:space="preserve"> претензий на сумму </w:t>
      </w:r>
      <w:r w:rsidR="00DD1A64">
        <w:t>1566,04</w:t>
      </w:r>
      <w:r>
        <w:t xml:space="preserve"> тыс. руб. (</w:t>
      </w:r>
      <w:r w:rsidR="00DD1A64">
        <w:t>87,2</w:t>
      </w:r>
      <w:r>
        <w:t>%).</w:t>
      </w:r>
    </w:p>
    <w:p w:rsidR="008A214C" w:rsidRDefault="00817D04" w:rsidP="00C12CDD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 w:rsidRPr="000A1FD9">
        <w:t xml:space="preserve">На суммы задолженности по арендным платежам за пользование муниципальным имуществом направлено  </w:t>
      </w:r>
      <w:r w:rsidR="000A1FD9">
        <w:t xml:space="preserve">2 </w:t>
      </w:r>
      <w:r w:rsidRPr="000A1FD9">
        <w:t xml:space="preserve">исковых заявления </w:t>
      </w:r>
      <w:r w:rsidR="000A1FD9">
        <w:t xml:space="preserve"> </w:t>
      </w:r>
      <w:r w:rsidR="00D9410B" w:rsidRPr="000A1FD9">
        <w:t xml:space="preserve"> </w:t>
      </w:r>
      <w:r w:rsidRPr="000A1FD9">
        <w:t>на сумму</w:t>
      </w:r>
      <w:r w:rsidR="000A1FD9">
        <w:t xml:space="preserve"> 182,9 тыс. руб. </w:t>
      </w:r>
      <w:r w:rsidR="00E06EF3">
        <w:t xml:space="preserve">и 5 исковых заявлений </w:t>
      </w:r>
      <w:r w:rsidR="00856357">
        <w:t>по арендной плате  за земельные участки на сумму 223,59 тыс. руб.</w:t>
      </w:r>
      <w:r w:rsidR="000533BE">
        <w:t>, из которых по арендной плате за муниципальное имущество не взыскано, по арендной плате за земельные участки взыскание составило 18,9 тыс. руб.(8%).</w:t>
      </w:r>
      <w:proofErr w:type="gramEnd"/>
    </w:p>
    <w:p w:rsidR="00392A27" w:rsidRDefault="00F4122B" w:rsidP="00392A27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В</w:t>
      </w:r>
      <w:r w:rsidR="00165781">
        <w:t xml:space="preserve"> течение 2016 года </w:t>
      </w:r>
      <w:r w:rsidR="00392A27">
        <w:t xml:space="preserve">должникам было направлено </w:t>
      </w:r>
      <w:r w:rsidR="00165781">
        <w:t>207</w:t>
      </w:r>
      <w:r w:rsidR="00392A27">
        <w:t xml:space="preserve"> претензий по арендной плате за земельные участки на сумму </w:t>
      </w:r>
      <w:r w:rsidR="00165781">
        <w:t>1756,99</w:t>
      </w:r>
      <w:r w:rsidR="00392A27">
        <w:t xml:space="preserve"> тыс. руб., из которых погашено </w:t>
      </w:r>
      <w:r w:rsidR="00165781">
        <w:t>65</w:t>
      </w:r>
      <w:r w:rsidR="00392A27">
        <w:t xml:space="preserve"> претензий на сумму </w:t>
      </w:r>
      <w:r w:rsidR="00165781">
        <w:t>533,34</w:t>
      </w:r>
      <w:r w:rsidR="00392A27">
        <w:t xml:space="preserve"> тыс. руб. (</w:t>
      </w:r>
      <w:r w:rsidR="00165781">
        <w:t>30</w:t>
      </w:r>
      <w:r w:rsidR="00392A27">
        <w:t xml:space="preserve">%). И </w:t>
      </w:r>
      <w:r w:rsidR="00ED27C0">
        <w:t>1</w:t>
      </w:r>
      <w:r w:rsidR="00165781">
        <w:t>5</w:t>
      </w:r>
      <w:r w:rsidR="00392A27">
        <w:t xml:space="preserve"> претензий по аренде муниципального имущества на сумму </w:t>
      </w:r>
      <w:r w:rsidR="00ED27C0">
        <w:t>1769,7</w:t>
      </w:r>
      <w:r w:rsidR="00392A27">
        <w:t xml:space="preserve"> тыс. руб., из которых погашено </w:t>
      </w:r>
      <w:r w:rsidR="00ED27C0">
        <w:t>9</w:t>
      </w:r>
      <w:r w:rsidR="00392A27">
        <w:t xml:space="preserve"> претензий на сумму </w:t>
      </w:r>
      <w:r w:rsidR="00ED27C0">
        <w:t>8</w:t>
      </w:r>
      <w:r w:rsidR="00165781">
        <w:t>41</w:t>
      </w:r>
      <w:r w:rsidR="00392A27">
        <w:t>,</w:t>
      </w:r>
      <w:r w:rsidR="00ED27C0">
        <w:t>56</w:t>
      </w:r>
      <w:r w:rsidR="00392A27">
        <w:t xml:space="preserve"> тыс. руб. (</w:t>
      </w:r>
      <w:r w:rsidR="00ED27C0">
        <w:t>47,5</w:t>
      </w:r>
      <w:r w:rsidR="00392A27">
        <w:t>%).</w:t>
      </w:r>
    </w:p>
    <w:p w:rsidR="00057EC2" w:rsidRDefault="00057EC2" w:rsidP="00392A27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Необходимо отметить, что в течение проверяемого периода не установлен</w:t>
      </w:r>
      <w:r w:rsidR="00565897">
        <w:t xml:space="preserve">а практика </w:t>
      </w:r>
      <w:r>
        <w:t xml:space="preserve"> прекращени</w:t>
      </w:r>
      <w:r w:rsidR="00565897">
        <w:t>я</w:t>
      </w:r>
      <w:r>
        <w:t xml:space="preserve"> договоров аренды в связи с наличием задолженности по арендной плате за муниципальное имущество.</w:t>
      </w:r>
    </w:p>
    <w:p w:rsidR="004C64CE" w:rsidRPr="00D31059" w:rsidRDefault="004C64CE" w:rsidP="00392A27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>
        <w:t xml:space="preserve">В связи с имеющейся задолженностью по арендной плате за земельные участки </w:t>
      </w:r>
      <w:r w:rsidR="00394074">
        <w:t xml:space="preserve">в 2016 году </w:t>
      </w:r>
      <w:r>
        <w:t xml:space="preserve"> были прекращены договоры с Ситниковым А.А. и с </w:t>
      </w:r>
      <w:proofErr w:type="spellStart"/>
      <w:r>
        <w:t>Угрюмовым</w:t>
      </w:r>
      <w:proofErr w:type="spellEnd"/>
      <w:r>
        <w:t xml:space="preserve"> А.Н.</w:t>
      </w:r>
      <w:r w:rsidR="00394074">
        <w:t>, сумма задолженности составляет 56,1 тыс. руб. и 68,6 тыс. руб. соответственно.</w:t>
      </w:r>
      <w:proofErr w:type="gramEnd"/>
      <w:r w:rsidR="00394074">
        <w:t xml:space="preserve"> Претензионная работа по взысканию задолженности ведется, в  настоящее время исполнительные листы находятся у приставов.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proofErr w:type="gramStart"/>
      <w:r>
        <w:lastRenderedPageBreak/>
        <w:t xml:space="preserve">Кроме того, межведомственными рабочими группами в течение года проводятся рейдовые мероприятия </w:t>
      </w:r>
      <w:r w:rsidR="004A6CA9">
        <w:t xml:space="preserve"> </w:t>
      </w:r>
      <w:r>
        <w:t xml:space="preserve"> по вопросам легализации налоговой базы по доходам, получаемым юридическими и физическими лицами от предпринимательской и иной деятельности, наличия заключенных трудовых договоров с наемными работниками, выявления объектов незавершенного строительства со 100% готовностью, использования земельных участков по назначению и наличия правоустанавливающих документов.</w:t>
      </w:r>
      <w:proofErr w:type="gramEnd"/>
    </w:p>
    <w:p w:rsidR="00E0414F" w:rsidRDefault="00E0414F" w:rsidP="00C12CD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В ходе проведенных рейдов:</w:t>
      </w:r>
    </w:p>
    <w:p w:rsidR="00E0414F" w:rsidRDefault="00E0414F" w:rsidP="00C12CD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- </w:t>
      </w:r>
      <w:r w:rsidR="00693A6D">
        <w:t xml:space="preserve"> </w:t>
      </w:r>
      <w:r w:rsidR="004E3FB1">
        <w:t>в 2015 году</w:t>
      </w:r>
      <w:r>
        <w:t xml:space="preserve"> выявлено </w:t>
      </w:r>
      <w:r w:rsidR="00693A6D">
        <w:t>6</w:t>
      </w:r>
      <w:r>
        <w:t xml:space="preserve"> физическ</w:t>
      </w:r>
      <w:r w:rsidR="0026132F">
        <w:t>их</w:t>
      </w:r>
      <w:r>
        <w:t xml:space="preserve"> лиц, осуществляющ</w:t>
      </w:r>
      <w:r w:rsidR="0026132F">
        <w:t>их</w:t>
      </w:r>
      <w:r>
        <w:t xml:space="preserve"> предпринимательскую деятельность без</w:t>
      </w:r>
      <w:r w:rsidR="00693A6D">
        <w:t xml:space="preserve"> государственной</w:t>
      </w:r>
      <w:r>
        <w:t xml:space="preserve"> регистрации в качестве индивидуального предпринимателя, и </w:t>
      </w:r>
      <w:r w:rsidR="00693A6D">
        <w:t>38</w:t>
      </w:r>
      <w:r>
        <w:t xml:space="preserve"> физических лиц, работающих по найму без оформления трудового договора. Из числа выявленных </w:t>
      </w:r>
      <w:r w:rsidR="00693A6D">
        <w:t>5</w:t>
      </w:r>
      <w:r>
        <w:t xml:space="preserve"> физическ</w:t>
      </w:r>
      <w:r w:rsidR="00AD62FA">
        <w:t>их</w:t>
      </w:r>
      <w:r>
        <w:t xml:space="preserve"> лиц встало на учет в налоговом органе, </w:t>
      </w:r>
      <w:r w:rsidR="00693A6D">
        <w:t xml:space="preserve">1 прекратил свою незаконную деятельность, </w:t>
      </w:r>
      <w:r>
        <w:t xml:space="preserve">с </w:t>
      </w:r>
      <w:r w:rsidR="00693A6D">
        <w:t>3</w:t>
      </w:r>
      <w:r>
        <w:t>4 наемными работниками заключены трудовые договоры.</w:t>
      </w:r>
    </w:p>
    <w:p w:rsidR="00961973" w:rsidRDefault="00E0414F" w:rsidP="00961973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- в 201</w:t>
      </w:r>
      <w:r w:rsidR="004E3FB1">
        <w:t>6</w:t>
      </w:r>
      <w:r>
        <w:t xml:space="preserve"> году</w:t>
      </w:r>
      <w:r w:rsidR="00AD62FA">
        <w:t xml:space="preserve"> </w:t>
      </w:r>
      <w:r w:rsidR="00961973">
        <w:t xml:space="preserve"> </w:t>
      </w:r>
      <w:r w:rsidR="008C2EBA">
        <w:t xml:space="preserve">выявлено 1  </w:t>
      </w:r>
      <w:r w:rsidR="00961973">
        <w:t>физическ</w:t>
      </w:r>
      <w:r w:rsidR="008C2EBA">
        <w:t>о</w:t>
      </w:r>
      <w:r w:rsidR="00AD62FA">
        <w:t>е</w:t>
      </w:r>
      <w:r w:rsidR="00961973">
        <w:t xml:space="preserve"> лиц</w:t>
      </w:r>
      <w:r w:rsidR="008C2EBA">
        <w:t>о</w:t>
      </w:r>
      <w:r w:rsidR="00961973">
        <w:t>, осуществляющ</w:t>
      </w:r>
      <w:r w:rsidR="008C2EBA">
        <w:t>е</w:t>
      </w:r>
      <w:r w:rsidR="00AD62FA">
        <w:t>е</w:t>
      </w:r>
      <w:r w:rsidR="00961973">
        <w:t xml:space="preserve"> предпринимательскую деятельность без регистрации в качестве индивидуального предпринимателя</w:t>
      </w:r>
      <w:r w:rsidR="00AD62FA">
        <w:t xml:space="preserve">, </w:t>
      </w:r>
      <w:r w:rsidR="008C2EBA">
        <w:t xml:space="preserve">  </w:t>
      </w:r>
      <w:r w:rsidR="00717443">
        <w:t>и 1 организация, осуществляющая свою деятельность без постановки на учет в налоговом органе,</w:t>
      </w:r>
      <w:r w:rsidR="00AD62FA">
        <w:t xml:space="preserve"> </w:t>
      </w:r>
      <w:r w:rsidR="008C2EBA">
        <w:t xml:space="preserve"> </w:t>
      </w:r>
      <w:r w:rsidR="00AD62FA">
        <w:t xml:space="preserve"> установлены</w:t>
      </w:r>
      <w:r w:rsidR="00961973">
        <w:t xml:space="preserve"> 1</w:t>
      </w:r>
      <w:r w:rsidR="00AD62FA">
        <w:t>7</w:t>
      </w:r>
      <w:r w:rsidR="00961973">
        <w:t xml:space="preserve"> физических лиц, работающих по найму без оформления трудового договора. </w:t>
      </w:r>
      <w:r w:rsidR="000D0929">
        <w:t xml:space="preserve">По итогам проведенных мероприятий </w:t>
      </w:r>
      <w:r w:rsidR="0034264E">
        <w:t xml:space="preserve"> </w:t>
      </w:r>
      <w:r w:rsidR="000D0929">
        <w:t xml:space="preserve"> организация встала на учет в налоговом органе, а физическое лицо не зарегистрировалось. </w:t>
      </w:r>
      <w:r w:rsidR="00961973">
        <w:t xml:space="preserve">Из числа </w:t>
      </w:r>
      <w:proofErr w:type="gramStart"/>
      <w:r w:rsidR="00961973">
        <w:t>выявленных</w:t>
      </w:r>
      <w:proofErr w:type="gramEnd"/>
      <w:r w:rsidR="00961973">
        <w:t xml:space="preserve"> с </w:t>
      </w:r>
      <w:r w:rsidR="00AD62FA">
        <w:t>15</w:t>
      </w:r>
      <w:r w:rsidR="00961973">
        <w:t xml:space="preserve"> наемными работниками заключены трудовые договоры.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В целях вовлечения в налогооблагаемую базу объектов недвижимого имущества   в 2015 году проведена инвентаризация 44 объектов недвижимого имущества, по  4-м  объектам выявлена 100% готовность, из которых в течение года по 2-м объектам были зарегистрированы права собственности. Оценочная сумма поступления налога на имущество по данным объектам составила 9,6 тыс. руб. за год. 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В 2015 году также были проведены обследования 1 278 единиц земельных участков из 1 446 участков (по данным налогового органа) не участвующим налоговом обороте, из которых 830 участков используются без регистрации права. В 2015 году по выявленным участкам были зарегистрированы права собственности в количестве 30 единиц, а на 24 участка были заключены договоры аренды, общая оценочная сумма поступлений с данных участков составит 32,1 тыс. руб. в год.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В 2016 году проведена инвентаризация  46 объектов, по 7-ми объектам выявлена 100 % готовность, из которых в течение года были зарегистрированы права собственности по 3 объектам.  </w:t>
      </w:r>
    </w:p>
    <w:p w:rsidR="00166E7D" w:rsidRDefault="00166E7D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Также в 2016 году также были выявлены 236 единиц земельных участков (по данным налогового органа)</w:t>
      </w:r>
      <w:r w:rsidR="00AA432B">
        <w:t>,</w:t>
      </w:r>
      <w:r>
        <w:t xml:space="preserve"> не участвующи</w:t>
      </w:r>
      <w:r w:rsidR="00AA432B">
        <w:t>х в</w:t>
      </w:r>
      <w:r>
        <w:t xml:space="preserve"> налоговом обороте. В течение года по </w:t>
      </w:r>
      <w:r>
        <w:lastRenderedPageBreak/>
        <w:t xml:space="preserve">выявленным участкам были зарегистрированы права собственности в количестве 16 единиц. </w:t>
      </w:r>
    </w:p>
    <w:p w:rsidR="00E02B81" w:rsidRDefault="00E02B81" w:rsidP="00166E7D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Кроме того, в 2016 году в рамках муниципального контроля проводились проверки юридических и физических лиц по соблюдению требований земельного законодательства</w:t>
      </w:r>
      <w:proofErr w:type="gramStart"/>
      <w:r>
        <w:t>.</w:t>
      </w:r>
      <w:proofErr w:type="gramEnd"/>
      <w:r>
        <w:t xml:space="preserve"> В ходе мероприятий выявлено 2 нарушения использования земельных участков без правоустанавливающих документов. С граждан, допустивших нарушения, за фактическое использование земельных участков в 2014-2016 годах были взысканы средства в сумме 110,26 тыс. руб. и заключено 2 договора аренды с ежегодным размером арендной платы в сумме 37,0 тыс. руб.</w:t>
      </w:r>
    </w:p>
    <w:p w:rsidR="00C73479" w:rsidRDefault="00C73479" w:rsidP="00EC1EA5">
      <w:pPr>
        <w:tabs>
          <w:tab w:val="left" w:pos="0"/>
        </w:tabs>
        <w:spacing w:line="360" w:lineRule="auto"/>
        <w:ind w:firstLine="851"/>
        <w:contextualSpacing/>
        <w:jc w:val="both"/>
        <w:rPr>
          <w:b/>
        </w:rPr>
      </w:pPr>
    </w:p>
    <w:p w:rsidR="00AD5981" w:rsidRDefault="00AD5981" w:rsidP="00EC1EA5">
      <w:pPr>
        <w:tabs>
          <w:tab w:val="left" w:pos="0"/>
        </w:tabs>
        <w:spacing w:line="360" w:lineRule="auto"/>
        <w:ind w:firstLine="851"/>
        <w:contextualSpacing/>
        <w:jc w:val="both"/>
        <w:rPr>
          <w:b/>
        </w:rPr>
      </w:pPr>
    </w:p>
    <w:p w:rsidR="00AD5981" w:rsidRDefault="00AD5981" w:rsidP="00EC1EA5">
      <w:pPr>
        <w:tabs>
          <w:tab w:val="left" w:pos="0"/>
        </w:tabs>
        <w:spacing w:line="360" w:lineRule="auto"/>
        <w:ind w:firstLine="851"/>
        <w:contextualSpacing/>
        <w:jc w:val="both"/>
        <w:rPr>
          <w:b/>
        </w:rPr>
      </w:pPr>
    </w:p>
    <w:p w:rsidR="00CE444C" w:rsidRDefault="00DB1E20" w:rsidP="00EC1EA5">
      <w:pPr>
        <w:tabs>
          <w:tab w:val="left" w:pos="0"/>
        </w:tabs>
        <w:spacing w:line="360" w:lineRule="auto"/>
        <w:ind w:firstLine="851"/>
        <w:contextualSpacing/>
        <w:jc w:val="both"/>
        <w:rPr>
          <w:b/>
        </w:rPr>
      </w:pPr>
      <w:r w:rsidRPr="00DB1E20">
        <w:rPr>
          <w:b/>
        </w:rPr>
        <w:t>Выводы.</w:t>
      </w:r>
    </w:p>
    <w:p w:rsidR="00AD5981" w:rsidRPr="00DB1E20" w:rsidRDefault="00AD5981" w:rsidP="00EC1EA5">
      <w:pPr>
        <w:tabs>
          <w:tab w:val="left" w:pos="0"/>
        </w:tabs>
        <w:spacing w:line="360" w:lineRule="auto"/>
        <w:ind w:firstLine="851"/>
        <w:contextualSpacing/>
        <w:jc w:val="both"/>
        <w:rPr>
          <w:b/>
        </w:rPr>
      </w:pPr>
    </w:p>
    <w:p w:rsidR="00D53B4E" w:rsidRDefault="00D53B4E" w:rsidP="00D53B4E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Экспертно-аналитическое мероприятие, проведенное контрольно-счетной комиссией, установило в целом ежегодное увеличение поступлений в бюджет района  в виде налоговых и неналоговых доходов.</w:t>
      </w:r>
    </w:p>
    <w:p w:rsidR="00D53B4E" w:rsidRDefault="00D53B4E" w:rsidP="00D53B4E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Налоговые доходы увеличиваются за счет поступлений НДФЛ, акцизов и налогов на имущество организаций.</w:t>
      </w:r>
    </w:p>
    <w:p w:rsidR="00D53B4E" w:rsidRDefault="00D53B4E" w:rsidP="00D53B4E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 xml:space="preserve">Увеличением поступлений неналоговых доходов обусловлено увеличение доходов от </w:t>
      </w:r>
      <w:r w:rsidR="000062D1">
        <w:t>реализации муниципального имущества</w:t>
      </w:r>
      <w:r>
        <w:t xml:space="preserve"> и продажи земельных участков.</w:t>
      </w:r>
    </w:p>
    <w:p w:rsidR="003B7CD9" w:rsidRDefault="003B7CD9" w:rsidP="00D53B4E">
      <w:pPr>
        <w:tabs>
          <w:tab w:val="left" w:pos="0"/>
        </w:tabs>
        <w:spacing w:line="360" w:lineRule="auto"/>
        <w:ind w:firstLine="851"/>
        <w:contextualSpacing/>
        <w:jc w:val="both"/>
      </w:pPr>
      <w:r>
        <w:t>Таким образом, работа, проводимая администрацией Вятскополянского района по увеличению поступлений налоговых и неналоговых доходов, дает положительные результаты.</w:t>
      </w:r>
    </w:p>
    <w:p w:rsidR="005105F9" w:rsidRDefault="00DB1E20" w:rsidP="00DB1E20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 CYR" w:hAnsi="Times New Roman CYR" w:cs="Times New Roman CYR"/>
          <w:bCs/>
        </w:rPr>
      </w:pPr>
      <w:r>
        <w:t xml:space="preserve">В ходе проведенного мероприятия </w:t>
      </w:r>
      <w:r w:rsidR="003B7CD9">
        <w:t xml:space="preserve">также </w:t>
      </w:r>
      <w:r>
        <w:t>установлено, что эффективность по реализации разработанных планов</w:t>
      </w:r>
      <w:r w:rsidR="005105F9">
        <w:t xml:space="preserve"> </w:t>
      </w:r>
      <w:r>
        <w:t xml:space="preserve">по </w:t>
      </w:r>
      <w:r>
        <w:rPr>
          <w:rFonts w:ascii="Times New Roman CYR" w:hAnsi="Times New Roman CYR" w:cs="Times New Roman CYR"/>
          <w:bCs/>
        </w:rPr>
        <w:t xml:space="preserve">повышению поступлений   доходов </w:t>
      </w:r>
      <w:r w:rsidR="00D53B4E">
        <w:t xml:space="preserve">в виде </w:t>
      </w:r>
      <w:r w:rsidR="005105F9">
        <w:t xml:space="preserve"> сокращени</w:t>
      </w:r>
      <w:r w:rsidR="00D53B4E">
        <w:t>я</w:t>
      </w:r>
      <w:r w:rsidR="005105F9">
        <w:t xml:space="preserve"> недоимки  </w:t>
      </w:r>
      <w:r w:rsidR="005105F9">
        <w:rPr>
          <w:rFonts w:ascii="Times New Roman CYR" w:hAnsi="Times New Roman CYR" w:cs="Times New Roman CYR"/>
          <w:bCs/>
        </w:rPr>
        <w:t xml:space="preserve">не </w:t>
      </w:r>
      <w:r>
        <w:rPr>
          <w:rFonts w:ascii="Times New Roman CYR" w:hAnsi="Times New Roman CYR" w:cs="Times New Roman CYR"/>
          <w:bCs/>
        </w:rPr>
        <w:t xml:space="preserve">нашла свое отражение </w:t>
      </w:r>
      <w:r w:rsidR="005105F9">
        <w:rPr>
          <w:rFonts w:ascii="Times New Roman CYR" w:hAnsi="Times New Roman CYR" w:cs="Times New Roman CYR"/>
          <w:bCs/>
        </w:rPr>
        <w:t xml:space="preserve"> </w:t>
      </w:r>
      <w:r w:rsidR="00756994">
        <w:rPr>
          <w:rFonts w:ascii="Times New Roman CYR" w:hAnsi="Times New Roman CYR" w:cs="Times New Roman CYR"/>
          <w:bCs/>
        </w:rPr>
        <w:t>в бюджете района</w:t>
      </w:r>
      <w:r w:rsidR="005105F9">
        <w:rPr>
          <w:rFonts w:ascii="Times New Roman CYR" w:hAnsi="Times New Roman CYR" w:cs="Times New Roman CYR"/>
          <w:bCs/>
        </w:rPr>
        <w:t>.</w:t>
      </w:r>
    </w:p>
    <w:p w:rsidR="005105F9" w:rsidRDefault="00DB1E20" w:rsidP="00DB1E20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 CYR" w:hAnsi="Times New Roman CYR" w:cs="Times New Roman CYR"/>
          <w:bCs/>
        </w:rPr>
      </w:pPr>
      <w:proofErr w:type="gramStart"/>
      <w:r>
        <w:rPr>
          <w:rFonts w:ascii="Times New Roman CYR" w:hAnsi="Times New Roman CYR" w:cs="Times New Roman CYR"/>
          <w:bCs/>
        </w:rPr>
        <w:t xml:space="preserve">Проведенный анализ свидетельствует, что </w:t>
      </w:r>
      <w:r w:rsidR="005105F9">
        <w:rPr>
          <w:rFonts w:ascii="Times New Roman CYR" w:hAnsi="Times New Roman CYR" w:cs="Times New Roman CYR"/>
          <w:bCs/>
        </w:rPr>
        <w:t>проводимые мероприятия не имеют достаточной эффективности, так как недоимка по аренде земли выросла на 01.01.2017 г. по сравнению с 01.01.2015 г. на 63</w:t>
      </w:r>
      <w:r w:rsidR="001E59EE">
        <w:rPr>
          <w:rFonts w:ascii="Times New Roman CYR" w:hAnsi="Times New Roman CYR" w:cs="Times New Roman CYR"/>
          <w:bCs/>
        </w:rPr>
        <w:t>9</w:t>
      </w:r>
      <w:r w:rsidR="005105F9">
        <w:rPr>
          <w:rFonts w:ascii="Times New Roman CYR" w:hAnsi="Times New Roman CYR" w:cs="Times New Roman CYR"/>
          <w:bCs/>
        </w:rPr>
        <w:t>,</w:t>
      </w:r>
      <w:r w:rsidR="001E59EE">
        <w:rPr>
          <w:rFonts w:ascii="Times New Roman CYR" w:hAnsi="Times New Roman CYR" w:cs="Times New Roman CYR"/>
          <w:bCs/>
        </w:rPr>
        <w:t>63</w:t>
      </w:r>
      <w:r w:rsidR="005105F9">
        <w:rPr>
          <w:rFonts w:ascii="Times New Roman CYR" w:hAnsi="Times New Roman CYR" w:cs="Times New Roman CYR"/>
          <w:bCs/>
        </w:rPr>
        <w:t xml:space="preserve"> тыс. руб. с 97</w:t>
      </w:r>
      <w:r w:rsidR="001E59EE">
        <w:rPr>
          <w:rFonts w:ascii="Times New Roman CYR" w:hAnsi="Times New Roman CYR" w:cs="Times New Roman CYR"/>
          <w:bCs/>
        </w:rPr>
        <w:t>5</w:t>
      </w:r>
      <w:r w:rsidR="005105F9">
        <w:rPr>
          <w:rFonts w:ascii="Times New Roman CYR" w:hAnsi="Times New Roman CYR" w:cs="Times New Roman CYR"/>
          <w:bCs/>
        </w:rPr>
        <w:t>,</w:t>
      </w:r>
      <w:r w:rsidR="001E59EE">
        <w:rPr>
          <w:rFonts w:ascii="Times New Roman CYR" w:hAnsi="Times New Roman CYR" w:cs="Times New Roman CYR"/>
          <w:bCs/>
        </w:rPr>
        <w:t>88</w:t>
      </w:r>
      <w:r w:rsidR="005105F9">
        <w:rPr>
          <w:rFonts w:ascii="Times New Roman CYR" w:hAnsi="Times New Roman CYR" w:cs="Times New Roman CYR"/>
          <w:bCs/>
        </w:rPr>
        <w:t xml:space="preserve"> тыс. руб. до 16</w:t>
      </w:r>
      <w:r w:rsidR="001E59EE">
        <w:rPr>
          <w:rFonts w:ascii="Times New Roman CYR" w:hAnsi="Times New Roman CYR" w:cs="Times New Roman CYR"/>
          <w:bCs/>
        </w:rPr>
        <w:t>15</w:t>
      </w:r>
      <w:r w:rsidR="005105F9">
        <w:rPr>
          <w:rFonts w:ascii="Times New Roman CYR" w:hAnsi="Times New Roman CYR" w:cs="Times New Roman CYR"/>
          <w:bCs/>
        </w:rPr>
        <w:t>,</w:t>
      </w:r>
      <w:r w:rsidR="001E59EE">
        <w:rPr>
          <w:rFonts w:ascii="Times New Roman CYR" w:hAnsi="Times New Roman CYR" w:cs="Times New Roman CYR"/>
          <w:bCs/>
        </w:rPr>
        <w:t>41</w:t>
      </w:r>
      <w:r w:rsidR="005105F9">
        <w:rPr>
          <w:rFonts w:ascii="Times New Roman CYR" w:hAnsi="Times New Roman CYR" w:cs="Times New Roman CYR"/>
          <w:bCs/>
        </w:rPr>
        <w:t xml:space="preserve"> тыс. руб. </w:t>
      </w:r>
      <w:r w:rsidR="00CD0240">
        <w:rPr>
          <w:rFonts w:ascii="Times New Roman CYR" w:hAnsi="Times New Roman CYR" w:cs="Times New Roman CYR"/>
          <w:bCs/>
        </w:rPr>
        <w:t xml:space="preserve"> </w:t>
      </w:r>
      <w:r w:rsidR="005105F9">
        <w:rPr>
          <w:rFonts w:ascii="Times New Roman CYR" w:hAnsi="Times New Roman CYR" w:cs="Times New Roman CYR"/>
          <w:bCs/>
        </w:rPr>
        <w:t xml:space="preserve"> </w:t>
      </w:r>
      <w:r w:rsidR="00CD0240">
        <w:rPr>
          <w:rFonts w:ascii="Times New Roman CYR" w:hAnsi="Times New Roman CYR" w:cs="Times New Roman CYR"/>
          <w:bCs/>
        </w:rPr>
        <w:t>П</w:t>
      </w:r>
      <w:r w:rsidR="005105F9">
        <w:rPr>
          <w:rFonts w:ascii="Times New Roman CYR" w:hAnsi="Times New Roman CYR" w:cs="Times New Roman CYR"/>
          <w:bCs/>
        </w:rPr>
        <w:t xml:space="preserve">о арендной плате за муниципальное имущество недоимка также увеличилась  </w:t>
      </w:r>
      <w:r w:rsidR="001E59EE">
        <w:rPr>
          <w:rFonts w:ascii="Times New Roman CYR" w:hAnsi="Times New Roman CYR" w:cs="Times New Roman CYR"/>
          <w:bCs/>
        </w:rPr>
        <w:t xml:space="preserve"> </w:t>
      </w:r>
      <w:r w:rsidR="005105F9">
        <w:rPr>
          <w:rFonts w:ascii="Times New Roman CYR" w:hAnsi="Times New Roman CYR" w:cs="Times New Roman CYR"/>
          <w:bCs/>
        </w:rPr>
        <w:t xml:space="preserve">с </w:t>
      </w:r>
      <w:r w:rsidR="001E59EE">
        <w:rPr>
          <w:rFonts w:ascii="Times New Roman CYR" w:hAnsi="Times New Roman CYR" w:cs="Times New Roman CYR"/>
          <w:bCs/>
        </w:rPr>
        <w:t>43,82</w:t>
      </w:r>
      <w:r w:rsidR="005105F9">
        <w:rPr>
          <w:rFonts w:ascii="Times New Roman CYR" w:hAnsi="Times New Roman CYR" w:cs="Times New Roman CYR"/>
          <w:bCs/>
        </w:rPr>
        <w:t xml:space="preserve"> тыс. руб. на 01.01.2015 г. до </w:t>
      </w:r>
      <w:r w:rsidR="001E59EE">
        <w:rPr>
          <w:rFonts w:ascii="Times New Roman CYR" w:hAnsi="Times New Roman CYR" w:cs="Times New Roman CYR"/>
          <w:bCs/>
        </w:rPr>
        <w:t>970,42</w:t>
      </w:r>
      <w:r w:rsidR="005105F9">
        <w:rPr>
          <w:rFonts w:ascii="Times New Roman CYR" w:hAnsi="Times New Roman CYR" w:cs="Times New Roman CYR"/>
          <w:bCs/>
        </w:rPr>
        <w:t xml:space="preserve"> тыс. руб. на 01.01.2017 г</w:t>
      </w:r>
      <w:proofErr w:type="gramEnd"/>
      <w:r w:rsidR="005105F9">
        <w:rPr>
          <w:rFonts w:ascii="Times New Roman CYR" w:hAnsi="Times New Roman CYR" w:cs="Times New Roman CYR"/>
          <w:bCs/>
        </w:rPr>
        <w:t xml:space="preserve">., т.е. на </w:t>
      </w:r>
      <w:r w:rsidR="001E59EE">
        <w:rPr>
          <w:rFonts w:ascii="Times New Roman CYR" w:hAnsi="Times New Roman CYR" w:cs="Times New Roman CYR"/>
          <w:bCs/>
        </w:rPr>
        <w:t>926,63</w:t>
      </w:r>
      <w:r w:rsidR="005105F9">
        <w:rPr>
          <w:rFonts w:ascii="Times New Roman CYR" w:hAnsi="Times New Roman CYR" w:cs="Times New Roman CYR"/>
          <w:bCs/>
        </w:rPr>
        <w:t xml:space="preserve"> тыс. руб.</w:t>
      </w:r>
    </w:p>
    <w:p w:rsidR="003E545D" w:rsidRDefault="003E545D" w:rsidP="00DB1E20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Для увеличения поступлений налоговой и неналоговой базы по платежам в бюджеты всех уровней необходимо активизировать работу по разработанным планам мероприятий</w:t>
      </w:r>
      <w:r w:rsidR="0015115D">
        <w:rPr>
          <w:rFonts w:ascii="Times New Roman CYR" w:hAnsi="Times New Roman CYR" w:cs="Times New Roman CYR"/>
          <w:bCs/>
        </w:rPr>
        <w:t xml:space="preserve">, добиваясь </w:t>
      </w:r>
      <w:r w:rsidR="00F614C4">
        <w:rPr>
          <w:rFonts w:ascii="Times New Roman CYR" w:hAnsi="Times New Roman CYR" w:cs="Times New Roman CYR"/>
          <w:bCs/>
        </w:rPr>
        <w:t>результативност</w:t>
      </w:r>
      <w:r w:rsidR="0015115D">
        <w:rPr>
          <w:rFonts w:ascii="Times New Roman CYR" w:hAnsi="Times New Roman CYR" w:cs="Times New Roman CYR"/>
          <w:bCs/>
        </w:rPr>
        <w:t>и</w:t>
      </w:r>
      <w:r w:rsidR="00F614C4">
        <w:rPr>
          <w:rFonts w:ascii="Times New Roman CYR" w:hAnsi="Times New Roman CYR" w:cs="Times New Roman CYR"/>
          <w:bCs/>
        </w:rPr>
        <w:t>.</w:t>
      </w:r>
      <w:r w:rsidR="00164346">
        <w:rPr>
          <w:rFonts w:ascii="Times New Roman CYR" w:hAnsi="Times New Roman CYR" w:cs="Times New Roman CYR"/>
          <w:bCs/>
        </w:rPr>
        <w:t xml:space="preserve"> Также необходимо обеспечить тесное </w:t>
      </w:r>
      <w:r w:rsidR="00164346">
        <w:rPr>
          <w:rFonts w:ascii="Times New Roman CYR" w:hAnsi="Times New Roman CYR" w:cs="Times New Roman CYR"/>
          <w:bCs/>
        </w:rPr>
        <w:lastRenderedPageBreak/>
        <w:t>взаимодействие с органами, осуществляющими реальные меры воздействия на плательщиков.</w:t>
      </w:r>
    </w:p>
    <w:p w:rsidR="00164471" w:rsidRDefault="00164471" w:rsidP="00DB1E20">
      <w:pPr>
        <w:tabs>
          <w:tab w:val="left" w:pos="0"/>
        </w:tabs>
        <w:spacing w:line="360" w:lineRule="auto"/>
        <w:ind w:firstLine="851"/>
        <w:contextualSpacing/>
        <w:jc w:val="both"/>
        <w:rPr>
          <w:rFonts w:ascii="Times New Roman CYR" w:hAnsi="Times New Roman CYR" w:cs="Times New Roman CYR"/>
          <w:bCs/>
        </w:rPr>
      </w:pPr>
    </w:p>
    <w:p w:rsidR="00733AB9" w:rsidRDefault="00733AB9" w:rsidP="003A5A74">
      <w:pPr>
        <w:tabs>
          <w:tab w:val="left" w:pos="0"/>
        </w:tabs>
        <w:jc w:val="both"/>
      </w:pPr>
      <w:r>
        <w:t>Консультант контрольно-</w:t>
      </w:r>
    </w:p>
    <w:p w:rsidR="00733AB9" w:rsidRDefault="00733AB9" w:rsidP="00733AB9">
      <w:pPr>
        <w:tabs>
          <w:tab w:val="left" w:pos="1264"/>
        </w:tabs>
        <w:jc w:val="both"/>
      </w:pPr>
      <w:r>
        <w:t xml:space="preserve">счетной комиссии                                                                </w:t>
      </w:r>
      <w:r w:rsidR="00CE444C">
        <w:t xml:space="preserve">   </w:t>
      </w:r>
      <w:r>
        <w:t xml:space="preserve">     </w:t>
      </w:r>
      <w:r w:rsidR="00964A62">
        <w:t xml:space="preserve"> </w:t>
      </w:r>
      <w:r>
        <w:t xml:space="preserve">       </w:t>
      </w:r>
      <w:r w:rsidR="00396379">
        <w:t xml:space="preserve">   </w:t>
      </w:r>
      <w:r>
        <w:t xml:space="preserve">  С.Э. Одинцева</w:t>
      </w:r>
    </w:p>
    <w:p w:rsidR="00CE444C" w:rsidRDefault="00CE444C" w:rsidP="00733AB9">
      <w:pPr>
        <w:tabs>
          <w:tab w:val="left" w:pos="1264"/>
        </w:tabs>
        <w:jc w:val="both"/>
      </w:pPr>
    </w:p>
    <w:p w:rsidR="00CE444C" w:rsidRDefault="00CE444C" w:rsidP="00733AB9">
      <w:pPr>
        <w:tabs>
          <w:tab w:val="left" w:pos="1264"/>
        </w:tabs>
        <w:jc w:val="both"/>
      </w:pPr>
      <w:r>
        <w:t>Старший эксперт контрольно-</w:t>
      </w:r>
    </w:p>
    <w:p w:rsidR="00CE444C" w:rsidRDefault="00CE444C" w:rsidP="003A5A74">
      <w:pPr>
        <w:tabs>
          <w:tab w:val="left" w:pos="0"/>
        </w:tabs>
        <w:jc w:val="both"/>
      </w:pPr>
      <w:r>
        <w:t>счетной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5A74">
        <w:t xml:space="preserve">  </w:t>
      </w:r>
      <w:r>
        <w:tab/>
      </w:r>
      <w:r w:rsidR="00964A62">
        <w:t xml:space="preserve">  </w:t>
      </w:r>
      <w:r>
        <w:tab/>
        <w:t>И.Г. Соловьева</w:t>
      </w:r>
    </w:p>
    <w:p w:rsidR="00733AB9" w:rsidRDefault="00733AB9" w:rsidP="00733AB9">
      <w:pPr>
        <w:tabs>
          <w:tab w:val="left" w:pos="1264"/>
        </w:tabs>
        <w:jc w:val="both"/>
      </w:pPr>
    </w:p>
    <w:p w:rsidR="00733AB9" w:rsidRDefault="00733AB9" w:rsidP="00733AB9">
      <w:pPr>
        <w:tabs>
          <w:tab w:val="left" w:pos="1264"/>
        </w:tabs>
        <w:jc w:val="both"/>
      </w:pPr>
    </w:p>
    <w:p w:rsidR="00733AB9" w:rsidRDefault="00733AB9" w:rsidP="00733AB9">
      <w:pPr>
        <w:tabs>
          <w:tab w:val="left" w:pos="1264"/>
        </w:tabs>
        <w:jc w:val="both"/>
      </w:pPr>
      <w:r>
        <w:t>СОГЛАСОВАНО:</w:t>
      </w:r>
    </w:p>
    <w:p w:rsidR="005B738A" w:rsidRDefault="005B738A" w:rsidP="00733AB9">
      <w:pPr>
        <w:tabs>
          <w:tab w:val="left" w:pos="1264"/>
        </w:tabs>
        <w:jc w:val="both"/>
      </w:pPr>
    </w:p>
    <w:p w:rsidR="00733AB9" w:rsidRDefault="00733AB9" w:rsidP="00733AB9">
      <w:pPr>
        <w:tabs>
          <w:tab w:val="left" w:pos="1264"/>
        </w:tabs>
        <w:jc w:val="both"/>
      </w:pPr>
      <w:r>
        <w:t>Председатель контрольно-</w:t>
      </w:r>
    </w:p>
    <w:p w:rsidR="00733AB9" w:rsidRDefault="00733AB9" w:rsidP="00733AB9">
      <w:pPr>
        <w:tabs>
          <w:tab w:val="left" w:pos="1264"/>
        </w:tabs>
        <w:jc w:val="both"/>
      </w:pPr>
      <w:r>
        <w:t xml:space="preserve">счетной комиссии                                                                 </w:t>
      </w:r>
      <w:r w:rsidR="005B738A">
        <w:t xml:space="preserve">  </w:t>
      </w:r>
      <w:r>
        <w:t xml:space="preserve">           </w:t>
      </w:r>
      <w:r w:rsidR="00CE444C">
        <w:t xml:space="preserve"> </w:t>
      </w:r>
      <w:r w:rsidR="00396379">
        <w:t xml:space="preserve">   </w:t>
      </w:r>
      <w:r w:rsidR="00CE444C">
        <w:t xml:space="preserve">  </w:t>
      </w:r>
      <w:r>
        <w:t xml:space="preserve">  </w:t>
      </w:r>
      <w:r w:rsidR="00CE444C">
        <w:t>А</w:t>
      </w:r>
      <w:r>
        <w:t xml:space="preserve">.В. </w:t>
      </w:r>
      <w:r w:rsidR="00CE444C">
        <w:t>Матвеев</w:t>
      </w:r>
    </w:p>
    <w:p w:rsidR="00164471" w:rsidRDefault="00164471" w:rsidP="00733AB9">
      <w:pPr>
        <w:tabs>
          <w:tab w:val="left" w:pos="1264"/>
        </w:tabs>
        <w:jc w:val="both"/>
      </w:pPr>
    </w:p>
    <w:p w:rsidR="00CE444C" w:rsidRDefault="00CE444C" w:rsidP="00733AB9">
      <w:pPr>
        <w:tabs>
          <w:tab w:val="left" w:pos="1264"/>
        </w:tabs>
        <w:jc w:val="both"/>
      </w:pPr>
    </w:p>
    <w:p w:rsidR="00CE444C" w:rsidRDefault="00CE444C" w:rsidP="00733AB9">
      <w:pPr>
        <w:tabs>
          <w:tab w:val="left" w:pos="1264"/>
        </w:tabs>
        <w:jc w:val="both"/>
      </w:pPr>
      <w:r>
        <w:t>ОЗНАКОМЛЕН</w:t>
      </w:r>
      <w:r w:rsidR="003A5A74">
        <w:t>Ы</w:t>
      </w:r>
      <w:r>
        <w:t>:</w:t>
      </w:r>
    </w:p>
    <w:p w:rsidR="003A5A74" w:rsidRDefault="003A5A74" w:rsidP="00733AB9">
      <w:pPr>
        <w:tabs>
          <w:tab w:val="left" w:pos="1264"/>
        </w:tabs>
        <w:jc w:val="both"/>
      </w:pPr>
    </w:p>
    <w:p w:rsidR="0045029C" w:rsidRDefault="0045029C" w:rsidP="00733AB9">
      <w:pPr>
        <w:tabs>
          <w:tab w:val="left" w:pos="1264"/>
        </w:tabs>
        <w:jc w:val="both"/>
      </w:pPr>
      <w:r>
        <w:t xml:space="preserve">Глава </w:t>
      </w:r>
      <w:r w:rsidR="00BA15F9">
        <w:t xml:space="preserve"> </w:t>
      </w:r>
    </w:p>
    <w:p w:rsidR="00733AB9" w:rsidRDefault="0045029C" w:rsidP="00733AB9">
      <w:pPr>
        <w:tabs>
          <w:tab w:val="left" w:pos="1264"/>
        </w:tabs>
        <w:jc w:val="both"/>
      </w:pPr>
      <w:r>
        <w:t xml:space="preserve">Вятскополянского района                                                          </w:t>
      </w:r>
      <w:r w:rsidR="00BA15F9">
        <w:t xml:space="preserve">  </w:t>
      </w:r>
      <w:r>
        <w:t xml:space="preserve">           </w:t>
      </w:r>
      <w:r w:rsidR="00BA15F9">
        <w:t>И.Г. Трифонов</w:t>
      </w:r>
    </w:p>
    <w:p w:rsidR="00733AB9" w:rsidRDefault="00733AB9" w:rsidP="00733AB9">
      <w:pPr>
        <w:tabs>
          <w:tab w:val="left" w:pos="1264"/>
        </w:tabs>
        <w:jc w:val="both"/>
      </w:pPr>
    </w:p>
    <w:p w:rsidR="003A5A74" w:rsidRDefault="003A5A74" w:rsidP="00733AB9">
      <w:pPr>
        <w:tabs>
          <w:tab w:val="left" w:pos="1264"/>
        </w:tabs>
        <w:jc w:val="both"/>
      </w:pPr>
      <w:r>
        <w:t>Начальник управления финансов</w:t>
      </w:r>
    </w:p>
    <w:p w:rsidR="003A5A74" w:rsidRDefault="003A5A74" w:rsidP="00733AB9">
      <w:pPr>
        <w:tabs>
          <w:tab w:val="left" w:pos="1264"/>
        </w:tabs>
        <w:jc w:val="both"/>
      </w:pPr>
      <w:r>
        <w:t>администрации района                                                                          И.В. Бабушкина</w:t>
      </w:r>
    </w:p>
    <w:p w:rsidR="00140940" w:rsidRDefault="00140940" w:rsidP="00733AB9">
      <w:pPr>
        <w:tabs>
          <w:tab w:val="left" w:pos="1264"/>
        </w:tabs>
        <w:jc w:val="both"/>
      </w:pPr>
    </w:p>
    <w:p w:rsidR="00140940" w:rsidRDefault="00140940" w:rsidP="00733AB9">
      <w:pPr>
        <w:tabs>
          <w:tab w:val="left" w:pos="1264"/>
        </w:tabs>
        <w:jc w:val="both"/>
      </w:pPr>
      <w:r>
        <w:t>Начальник УЗИО</w:t>
      </w:r>
    </w:p>
    <w:p w:rsidR="00140940" w:rsidRPr="00733AB9" w:rsidRDefault="00140940" w:rsidP="00733AB9">
      <w:pPr>
        <w:tabs>
          <w:tab w:val="left" w:pos="1264"/>
        </w:tabs>
        <w:jc w:val="both"/>
      </w:pPr>
      <w:r>
        <w:t xml:space="preserve">администрации района                                                                            О.А. </w:t>
      </w:r>
      <w:proofErr w:type="spellStart"/>
      <w:r>
        <w:t>Паюрова</w:t>
      </w:r>
      <w:proofErr w:type="spellEnd"/>
    </w:p>
    <w:sectPr w:rsidR="00140940" w:rsidRPr="00733AB9" w:rsidSect="000164F9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7C" w:rsidRDefault="0073697C" w:rsidP="009149CE">
      <w:r>
        <w:separator/>
      </w:r>
    </w:p>
  </w:endnote>
  <w:endnote w:type="continuationSeparator" w:id="0">
    <w:p w:rsidR="0073697C" w:rsidRDefault="0073697C" w:rsidP="0091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219"/>
      <w:docPartObj>
        <w:docPartGallery w:val="Page Numbers (Bottom of Page)"/>
        <w:docPartUnique/>
      </w:docPartObj>
    </w:sdtPr>
    <w:sdtContent>
      <w:p w:rsidR="00BE57AD" w:rsidRDefault="00615849">
        <w:pPr>
          <w:pStyle w:val="a5"/>
          <w:jc w:val="right"/>
        </w:pPr>
        <w:fldSimple w:instr=" PAGE   \* MERGEFORMAT ">
          <w:r w:rsidR="00AD5981">
            <w:rPr>
              <w:noProof/>
            </w:rPr>
            <w:t>1</w:t>
          </w:r>
        </w:fldSimple>
      </w:p>
    </w:sdtContent>
  </w:sdt>
  <w:p w:rsidR="00BE57AD" w:rsidRDefault="00BE57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7C" w:rsidRDefault="0073697C" w:rsidP="009149CE">
      <w:r>
        <w:separator/>
      </w:r>
    </w:p>
  </w:footnote>
  <w:footnote w:type="continuationSeparator" w:id="0">
    <w:p w:rsidR="0073697C" w:rsidRDefault="0073697C" w:rsidP="00914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1D4"/>
    <w:multiLevelType w:val="hybridMultilevel"/>
    <w:tmpl w:val="36B87F20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">
    <w:nsid w:val="63BC7328"/>
    <w:multiLevelType w:val="hybridMultilevel"/>
    <w:tmpl w:val="0182570C"/>
    <w:lvl w:ilvl="0" w:tplc="83EEC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A3"/>
    <w:rsid w:val="00004341"/>
    <w:rsid w:val="000053F4"/>
    <w:rsid w:val="000062D1"/>
    <w:rsid w:val="000164F9"/>
    <w:rsid w:val="000242DB"/>
    <w:rsid w:val="000336F7"/>
    <w:rsid w:val="0003550D"/>
    <w:rsid w:val="000533BE"/>
    <w:rsid w:val="00057317"/>
    <w:rsid w:val="00057EC2"/>
    <w:rsid w:val="00061BF1"/>
    <w:rsid w:val="00067DCB"/>
    <w:rsid w:val="00096365"/>
    <w:rsid w:val="000A0917"/>
    <w:rsid w:val="000A1FD9"/>
    <w:rsid w:val="000A520A"/>
    <w:rsid w:val="000A7221"/>
    <w:rsid w:val="000A74B8"/>
    <w:rsid w:val="000B2D0C"/>
    <w:rsid w:val="000C4407"/>
    <w:rsid w:val="000D0929"/>
    <w:rsid w:val="000E43CF"/>
    <w:rsid w:val="000E6F96"/>
    <w:rsid w:val="00100C26"/>
    <w:rsid w:val="001013BC"/>
    <w:rsid w:val="00106377"/>
    <w:rsid w:val="00110640"/>
    <w:rsid w:val="00110DAC"/>
    <w:rsid w:val="00112138"/>
    <w:rsid w:val="0012289A"/>
    <w:rsid w:val="00123EF6"/>
    <w:rsid w:val="001375C6"/>
    <w:rsid w:val="00140940"/>
    <w:rsid w:val="00140BD0"/>
    <w:rsid w:val="0014142B"/>
    <w:rsid w:val="001438D6"/>
    <w:rsid w:val="00147A18"/>
    <w:rsid w:val="001505A4"/>
    <w:rsid w:val="0015115D"/>
    <w:rsid w:val="00155F04"/>
    <w:rsid w:val="00157D2B"/>
    <w:rsid w:val="00164346"/>
    <w:rsid w:val="00164471"/>
    <w:rsid w:val="00165781"/>
    <w:rsid w:val="00166B33"/>
    <w:rsid w:val="00166E7D"/>
    <w:rsid w:val="00171E92"/>
    <w:rsid w:val="001946B2"/>
    <w:rsid w:val="00194972"/>
    <w:rsid w:val="001A5874"/>
    <w:rsid w:val="001B25D4"/>
    <w:rsid w:val="001B69DA"/>
    <w:rsid w:val="001B7B56"/>
    <w:rsid w:val="001C3A53"/>
    <w:rsid w:val="001C4630"/>
    <w:rsid w:val="001C7D92"/>
    <w:rsid w:val="001D02AB"/>
    <w:rsid w:val="001D5DF5"/>
    <w:rsid w:val="001E59EE"/>
    <w:rsid w:val="001F66AA"/>
    <w:rsid w:val="001F6813"/>
    <w:rsid w:val="00204F92"/>
    <w:rsid w:val="002055A2"/>
    <w:rsid w:val="00206F2A"/>
    <w:rsid w:val="00214488"/>
    <w:rsid w:val="002213A6"/>
    <w:rsid w:val="002229E0"/>
    <w:rsid w:val="0022522E"/>
    <w:rsid w:val="00232181"/>
    <w:rsid w:val="0023526C"/>
    <w:rsid w:val="00235CAB"/>
    <w:rsid w:val="00235EE0"/>
    <w:rsid w:val="00236BDE"/>
    <w:rsid w:val="00241257"/>
    <w:rsid w:val="00245C17"/>
    <w:rsid w:val="00250D24"/>
    <w:rsid w:val="0026132F"/>
    <w:rsid w:val="00264314"/>
    <w:rsid w:val="002656D8"/>
    <w:rsid w:val="00271073"/>
    <w:rsid w:val="00274654"/>
    <w:rsid w:val="002756C3"/>
    <w:rsid w:val="002769C8"/>
    <w:rsid w:val="00280978"/>
    <w:rsid w:val="002839AD"/>
    <w:rsid w:val="00283CEE"/>
    <w:rsid w:val="00286677"/>
    <w:rsid w:val="002A016A"/>
    <w:rsid w:val="002A2FE3"/>
    <w:rsid w:val="002B3996"/>
    <w:rsid w:val="002B5D2B"/>
    <w:rsid w:val="002C188E"/>
    <w:rsid w:val="002C513E"/>
    <w:rsid w:val="002C5D14"/>
    <w:rsid w:val="002D3561"/>
    <w:rsid w:val="002E02B9"/>
    <w:rsid w:val="002F4B5E"/>
    <w:rsid w:val="002F4F04"/>
    <w:rsid w:val="0031509D"/>
    <w:rsid w:val="003165D8"/>
    <w:rsid w:val="00324A77"/>
    <w:rsid w:val="00336CAA"/>
    <w:rsid w:val="0034264E"/>
    <w:rsid w:val="00352B3E"/>
    <w:rsid w:val="00353754"/>
    <w:rsid w:val="00356BFD"/>
    <w:rsid w:val="00362398"/>
    <w:rsid w:val="003658EB"/>
    <w:rsid w:val="00365F8B"/>
    <w:rsid w:val="003677A5"/>
    <w:rsid w:val="003701B8"/>
    <w:rsid w:val="00372289"/>
    <w:rsid w:val="003817B9"/>
    <w:rsid w:val="00384A39"/>
    <w:rsid w:val="00392A27"/>
    <w:rsid w:val="00394074"/>
    <w:rsid w:val="00395CA3"/>
    <w:rsid w:val="00396379"/>
    <w:rsid w:val="003A5A74"/>
    <w:rsid w:val="003B2A04"/>
    <w:rsid w:val="003B44E7"/>
    <w:rsid w:val="003B7CD9"/>
    <w:rsid w:val="003C5548"/>
    <w:rsid w:val="003D05DB"/>
    <w:rsid w:val="003D08AB"/>
    <w:rsid w:val="003D48EF"/>
    <w:rsid w:val="003E2EAE"/>
    <w:rsid w:val="003E5338"/>
    <w:rsid w:val="003E545D"/>
    <w:rsid w:val="003E5B9F"/>
    <w:rsid w:val="003E7330"/>
    <w:rsid w:val="003F5A51"/>
    <w:rsid w:val="00411A30"/>
    <w:rsid w:val="004160DB"/>
    <w:rsid w:val="00422CC1"/>
    <w:rsid w:val="00424289"/>
    <w:rsid w:val="00430C4A"/>
    <w:rsid w:val="00432FF7"/>
    <w:rsid w:val="00434986"/>
    <w:rsid w:val="00434E3E"/>
    <w:rsid w:val="00436BC7"/>
    <w:rsid w:val="004374BF"/>
    <w:rsid w:val="00446867"/>
    <w:rsid w:val="0045029C"/>
    <w:rsid w:val="004536A6"/>
    <w:rsid w:val="00453934"/>
    <w:rsid w:val="00456154"/>
    <w:rsid w:val="00461172"/>
    <w:rsid w:val="00465EF6"/>
    <w:rsid w:val="00467427"/>
    <w:rsid w:val="0047183A"/>
    <w:rsid w:val="00487D20"/>
    <w:rsid w:val="00492CE1"/>
    <w:rsid w:val="0049478E"/>
    <w:rsid w:val="004A4F70"/>
    <w:rsid w:val="004A6CA9"/>
    <w:rsid w:val="004A6D2D"/>
    <w:rsid w:val="004B33E8"/>
    <w:rsid w:val="004C0BCA"/>
    <w:rsid w:val="004C64CE"/>
    <w:rsid w:val="004D1D0F"/>
    <w:rsid w:val="004D2D52"/>
    <w:rsid w:val="004D6D9D"/>
    <w:rsid w:val="004E38AA"/>
    <w:rsid w:val="004E3FB1"/>
    <w:rsid w:val="004E53FE"/>
    <w:rsid w:val="004F171C"/>
    <w:rsid w:val="004F2CBE"/>
    <w:rsid w:val="004F422C"/>
    <w:rsid w:val="004F68B3"/>
    <w:rsid w:val="00504722"/>
    <w:rsid w:val="005105F9"/>
    <w:rsid w:val="00512906"/>
    <w:rsid w:val="00513335"/>
    <w:rsid w:val="005162FF"/>
    <w:rsid w:val="00517512"/>
    <w:rsid w:val="00524314"/>
    <w:rsid w:val="00524C9A"/>
    <w:rsid w:val="00527D02"/>
    <w:rsid w:val="0054397F"/>
    <w:rsid w:val="00565897"/>
    <w:rsid w:val="00572F31"/>
    <w:rsid w:val="00582DCC"/>
    <w:rsid w:val="00587A2E"/>
    <w:rsid w:val="00587CE9"/>
    <w:rsid w:val="005A7F70"/>
    <w:rsid w:val="005B1A42"/>
    <w:rsid w:val="005B738A"/>
    <w:rsid w:val="005E2FD0"/>
    <w:rsid w:val="0060158D"/>
    <w:rsid w:val="00606577"/>
    <w:rsid w:val="00615849"/>
    <w:rsid w:val="00620618"/>
    <w:rsid w:val="00621239"/>
    <w:rsid w:val="006311CE"/>
    <w:rsid w:val="00631541"/>
    <w:rsid w:val="00631B08"/>
    <w:rsid w:val="00633D29"/>
    <w:rsid w:val="0063476E"/>
    <w:rsid w:val="00634D35"/>
    <w:rsid w:val="00650752"/>
    <w:rsid w:val="00650CD7"/>
    <w:rsid w:val="00654726"/>
    <w:rsid w:val="00663A60"/>
    <w:rsid w:val="00664452"/>
    <w:rsid w:val="00667519"/>
    <w:rsid w:val="00673CDD"/>
    <w:rsid w:val="006819C1"/>
    <w:rsid w:val="00682FD6"/>
    <w:rsid w:val="00693A6D"/>
    <w:rsid w:val="0069497C"/>
    <w:rsid w:val="006977F2"/>
    <w:rsid w:val="006A6E30"/>
    <w:rsid w:val="006A7D38"/>
    <w:rsid w:val="006B5839"/>
    <w:rsid w:val="006B61F3"/>
    <w:rsid w:val="006C1109"/>
    <w:rsid w:val="006C72D0"/>
    <w:rsid w:val="006D39E1"/>
    <w:rsid w:val="006F74C3"/>
    <w:rsid w:val="00711E14"/>
    <w:rsid w:val="00714C3E"/>
    <w:rsid w:val="00717443"/>
    <w:rsid w:val="00723669"/>
    <w:rsid w:val="007308F5"/>
    <w:rsid w:val="007326FF"/>
    <w:rsid w:val="00733AB9"/>
    <w:rsid w:val="00734AD6"/>
    <w:rsid w:val="00734DE8"/>
    <w:rsid w:val="007353D7"/>
    <w:rsid w:val="0073697C"/>
    <w:rsid w:val="00737CF0"/>
    <w:rsid w:val="00741ADE"/>
    <w:rsid w:val="007502CE"/>
    <w:rsid w:val="00756994"/>
    <w:rsid w:val="00765815"/>
    <w:rsid w:val="0076703C"/>
    <w:rsid w:val="00771632"/>
    <w:rsid w:val="007721E1"/>
    <w:rsid w:val="00774FE7"/>
    <w:rsid w:val="00777C97"/>
    <w:rsid w:val="007964EA"/>
    <w:rsid w:val="007A6A88"/>
    <w:rsid w:val="007B07C6"/>
    <w:rsid w:val="007B6792"/>
    <w:rsid w:val="007B7333"/>
    <w:rsid w:val="007C680D"/>
    <w:rsid w:val="007D4661"/>
    <w:rsid w:val="007E2F70"/>
    <w:rsid w:val="007E6D80"/>
    <w:rsid w:val="007F7E3A"/>
    <w:rsid w:val="008005B6"/>
    <w:rsid w:val="008006DA"/>
    <w:rsid w:val="00801783"/>
    <w:rsid w:val="00803EB9"/>
    <w:rsid w:val="00807065"/>
    <w:rsid w:val="00807FA9"/>
    <w:rsid w:val="00817D04"/>
    <w:rsid w:val="008274E7"/>
    <w:rsid w:val="00832634"/>
    <w:rsid w:val="00836650"/>
    <w:rsid w:val="00847134"/>
    <w:rsid w:val="0085027A"/>
    <w:rsid w:val="00856357"/>
    <w:rsid w:val="008565F4"/>
    <w:rsid w:val="0086492B"/>
    <w:rsid w:val="00864F54"/>
    <w:rsid w:val="00865CB2"/>
    <w:rsid w:val="00880DD0"/>
    <w:rsid w:val="0088646D"/>
    <w:rsid w:val="00887E70"/>
    <w:rsid w:val="00891163"/>
    <w:rsid w:val="008A214C"/>
    <w:rsid w:val="008A3C63"/>
    <w:rsid w:val="008B4390"/>
    <w:rsid w:val="008B7152"/>
    <w:rsid w:val="008B7EC0"/>
    <w:rsid w:val="008C051C"/>
    <w:rsid w:val="008C2989"/>
    <w:rsid w:val="008C2EBA"/>
    <w:rsid w:val="008C4C9E"/>
    <w:rsid w:val="008E3188"/>
    <w:rsid w:val="008E45C9"/>
    <w:rsid w:val="008E5438"/>
    <w:rsid w:val="008E5DC3"/>
    <w:rsid w:val="008F63B2"/>
    <w:rsid w:val="009149CE"/>
    <w:rsid w:val="00914B9A"/>
    <w:rsid w:val="009161C1"/>
    <w:rsid w:val="00917828"/>
    <w:rsid w:val="00931C46"/>
    <w:rsid w:val="00935887"/>
    <w:rsid w:val="0094151E"/>
    <w:rsid w:val="00945DF6"/>
    <w:rsid w:val="0094626E"/>
    <w:rsid w:val="00946B8D"/>
    <w:rsid w:val="00947818"/>
    <w:rsid w:val="00952785"/>
    <w:rsid w:val="009532C3"/>
    <w:rsid w:val="00961973"/>
    <w:rsid w:val="0096319D"/>
    <w:rsid w:val="00964A62"/>
    <w:rsid w:val="00965FCD"/>
    <w:rsid w:val="00971915"/>
    <w:rsid w:val="0097526C"/>
    <w:rsid w:val="00975C93"/>
    <w:rsid w:val="009856BF"/>
    <w:rsid w:val="00986BEA"/>
    <w:rsid w:val="00991986"/>
    <w:rsid w:val="00992108"/>
    <w:rsid w:val="0099271A"/>
    <w:rsid w:val="009949D5"/>
    <w:rsid w:val="009A0EFB"/>
    <w:rsid w:val="009C1633"/>
    <w:rsid w:val="009C46BF"/>
    <w:rsid w:val="009C698A"/>
    <w:rsid w:val="009D10CA"/>
    <w:rsid w:val="009D4369"/>
    <w:rsid w:val="009E0B3A"/>
    <w:rsid w:val="009E54F6"/>
    <w:rsid w:val="009E62A7"/>
    <w:rsid w:val="009E6EBC"/>
    <w:rsid w:val="009F4ACB"/>
    <w:rsid w:val="009F74D9"/>
    <w:rsid w:val="00A02B66"/>
    <w:rsid w:val="00A0444C"/>
    <w:rsid w:val="00A13FF5"/>
    <w:rsid w:val="00A1449C"/>
    <w:rsid w:val="00A2564F"/>
    <w:rsid w:val="00A32D1B"/>
    <w:rsid w:val="00A56AE2"/>
    <w:rsid w:val="00A605D9"/>
    <w:rsid w:val="00A624C2"/>
    <w:rsid w:val="00A63C3D"/>
    <w:rsid w:val="00A7776C"/>
    <w:rsid w:val="00A974F0"/>
    <w:rsid w:val="00AA0CE9"/>
    <w:rsid w:val="00AA2EDA"/>
    <w:rsid w:val="00AA3E18"/>
    <w:rsid w:val="00AA432B"/>
    <w:rsid w:val="00AC1D23"/>
    <w:rsid w:val="00AC768B"/>
    <w:rsid w:val="00AC7F82"/>
    <w:rsid w:val="00AD5981"/>
    <w:rsid w:val="00AD62FA"/>
    <w:rsid w:val="00AE10BE"/>
    <w:rsid w:val="00AE5D30"/>
    <w:rsid w:val="00AF3519"/>
    <w:rsid w:val="00B021F9"/>
    <w:rsid w:val="00B11918"/>
    <w:rsid w:val="00B15035"/>
    <w:rsid w:val="00B230B5"/>
    <w:rsid w:val="00B23868"/>
    <w:rsid w:val="00B24B34"/>
    <w:rsid w:val="00B33B2E"/>
    <w:rsid w:val="00B36D0A"/>
    <w:rsid w:val="00B41A22"/>
    <w:rsid w:val="00B439A6"/>
    <w:rsid w:val="00B4495F"/>
    <w:rsid w:val="00B5304D"/>
    <w:rsid w:val="00B544BE"/>
    <w:rsid w:val="00B57C9B"/>
    <w:rsid w:val="00B72BFC"/>
    <w:rsid w:val="00B7718A"/>
    <w:rsid w:val="00B82501"/>
    <w:rsid w:val="00B86741"/>
    <w:rsid w:val="00B91CE0"/>
    <w:rsid w:val="00B93048"/>
    <w:rsid w:val="00B9499B"/>
    <w:rsid w:val="00BA15F9"/>
    <w:rsid w:val="00BA7B36"/>
    <w:rsid w:val="00BC645A"/>
    <w:rsid w:val="00BE348E"/>
    <w:rsid w:val="00BE42F2"/>
    <w:rsid w:val="00BE57AD"/>
    <w:rsid w:val="00C01A15"/>
    <w:rsid w:val="00C02412"/>
    <w:rsid w:val="00C055BF"/>
    <w:rsid w:val="00C05F52"/>
    <w:rsid w:val="00C12CDD"/>
    <w:rsid w:val="00C16F9F"/>
    <w:rsid w:val="00C32282"/>
    <w:rsid w:val="00C36B6F"/>
    <w:rsid w:val="00C370C6"/>
    <w:rsid w:val="00C645FD"/>
    <w:rsid w:val="00C7109B"/>
    <w:rsid w:val="00C73479"/>
    <w:rsid w:val="00C91B2F"/>
    <w:rsid w:val="00C93E1A"/>
    <w:rsid w:val="00CA0C4A"/>
    <w:rsid w:val="00CA2EF2"/>
    <w:rsid w:val="00CB5FF3"/>
    <w:rsid w:val="00CC0A5E"/>
    <w:rsid w:val="00CC2506"/>
    <w:rsid w:val="00CC45FA"/>
    <w:rsid w:val="00CC5E4F"/>
    <w:rsid w:val="00CC77BD"/>
    <w:rsid w:val="00CD0240"/>
    <w:rsid w:val="00CD1095"/>
    <w:rsid w:val="00CD43FF"/>
    <w:rsid w:val="00CD65D7"/>
    <w:rsid w:val="00CE444C"/>
    <w:rsid w:val="00CE6397"/>
    <w:rsid w:val="00CF7828"/>
    <w:rsid w:val="00D05C77"/>
    <w:rsid w:val="00D07089"/>
    <w:rsid w:val="00D15336"/>
    <w:rsid w:val="00D16CFD"/>
    <w:rsid w:val="00D22519"/>
    <w:rsid w:val="00D27265"/>
    <w:rsid w:val="00D31059"/>
    <w:rsid w:val="00D53B4E"/>
    <w:rsid w:val="00D62059"/>
    <w:rsid w:val="00D64628"/>
    <w:rsid w:val="00D67598"/>
    <w:rsid w:val="00D713DB"/>
    <w:rsid w:val="00D8567D"/>
    <w:rsid w:val="00D85D8B"/>
    <w:rsid w:val="00D87D38"/>
    <w:rsid w:val="00D92F94"/>
    <w:rsid w:val="00D9410B"/>
    <w:rsid w:val="00D9623B"/>
    <w:rsid w:val="00DA6BF2"/>
    <w:rsid w:val="00DB0479"/>
    <w:rsid w:val="00DB1E20"/>
    <w:rsid w:val="00DB2B39"/>
    <w:rsid w:val="00DB34D0"/>
    <w:rsid w:val="00DB4D54"/>
    <w:rsid w:val="00DB4E46"/>
    <w:rsid w:val="00DB6E4C"/>
    <w:rsid w:val="00DB6E54"/>
    <w:rsid w:val="00DC4577"/>
    <w:rsid w:val="00DD1A64"/>
    <w:rsid w:val="00DD25FE"/>
    <w:rsid w:val="00DD2A5E"/>
    <w:rsid w:val="00DD7163"/>
    <w:rsid w:val="00DF5070"/>
    <w:rsid w:val="00DF596C"/>
    <w:rsid w:val="00DF697C"/>
    <w:rsid w:val="00E0034C"/>
    <w:rsid w:val="00E029AE"/>
    <w:rsid w:val="00E02AC1"/>
    <w:rsid w:val="00E02B81"/>
    <w:rsid w:val="00E03A99"/>
    <w:rsid w:val="00E0414F"/>
    <w:rsid w:val="00E06EF3"/>
    <w:rsid w:val="00E14202"/>
    <w:rsid w:val="00E148D9"/>
    <w:rsid w:val="00E149B5"/>
    <w:rsid w:val="00E2021C"/>
    <w:rsid w:val="00E20893"/>
    <w:rsid w:val="00E22020"/>
    <w:rsid w:val="00E22A1D"/>
    <w:rsid w:val="00E266CA"/>
    <w:rsid w:val="00E3635D"/>
    <w:rsid w:val="00E36584"/>
    <w:rsid w:val="00E37A48"/>
    <w:rsid w:val="00E4152F"/>
    <w:rsid w:val="00E41FC9"/>
    <w:rsid w:val="00E429A3"/>
    <w:rsid w:val="00E44C5C"/>
    <w:rsid w:val="00E451EB"/>
    <w:rsid w:val="00E45B7B"/>
    <w:rsid w:val="00E52159"/>
    <w:rsid w:val="00E53394"/>
    <w:rsid w:val="00E64FD1"/>
    <w:rsid w:val="00E65B15"/>
    <w:rsid w:val="00E7638F"/>
    <w:rsid w:val="00E76F60"/>
    <w:rsid w:val="00E84670"/>
    <w:rsid w:val="00E85EC7"/>
    <w:rsid w:val="00E954F2"/>
    <w:rsid w:val="00EA24B0"/>
    <w:rsid w:val="00EA499D"/>
    <w:rsid w:val="00EC1EA5"/>
    <w:rsid w:val="00EC3FCA"/>
    <w:rsid w:val="00EC759C"/>
    <w:rsid w:val="00ED27C0"/>
    <w:rsid w:val="00ED5CD7"/>
    <w:rsid w:val="00EF504C"/>
    <w:rsid w:val="00F034D4"/>
    <w:rsid w:val="00F06500"/>
    <w:rsid w:val="00F20488"/>
    <w:rsid w:val="00F20C44"/>
    <w:rsid w:val="00F237CC"/>
    <w:rsid w:val="00F31B4D"/>
    <w:rsid w:val="00F36CBC"/>
    <w:rsid w:val="00F4122B"/>
    <w:rsid w:val="00F47887"/>
    <w:rsid w:val="00F54315"/>
    <w:rsid w:val="00F54BFF"/>
    <w:rsid w:val="00F614C4"/>
    <w:rsid w:val="00F668F8"/>
    <w:rsid w:val="00F70C42"/>
    <w:rsid w:val="00F73188"/>
    <w:rsid w:val="00F76B02"/>
    <w:rsid w:val="00F94F07"/>
    <w:rsid w:val="00F9663B"/>
    <w:rsid w:val="00F97D18"/>
    <w:rsid w:val="00FB04C7"/>
    <w:rsid w:val="00FC53C2"/>
    <w:rsid w:val="00FD1063"/>
    <w:rsid w:val="00FE28B2"/>
    <w:rsid w:val="00FE2C71"/>
    <w:rsid w:val="00FE4984"/>
    <w:rsid w:val="00F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4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9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66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6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8B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75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908F-CF1B-44E8-963C-D438B552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22</Pages>
  <Words>6970</Words>
  <Characters>39732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46609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Одинцева</dc:creator>
  <cp:keywords/>
  <dc:description/>
  <cp:lastModifiedBy>Одинцева С.Э</cp:lastModifiedBy>
  <cp:revision>168</cp:revision>
  <cp:lastPrinted>2017-02-07T07:03:00Z</cp:lastPrinted>
  <dcterms:created xsi:type="dcterms:W3CDTF">2017-01-20T09:30:00Z</dcterms:created>
  <dcterms:modified xsi:type="dcterms:W3CDTF">2017-02-16T06:53:00Z</dcterms:modified>
</cp:coreProperties>
</file>